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C498" w14:textId="77777777" w:rsidR="00292A91" w:rsidRPr="00292A91" w:rsidRDefault="00292A91" w:rsidP="00292A91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bookmarkStart w:id="0" w:name="_GoBack"/>
      <w:bookmarkEnd w:id="0"/>
      <w:r w:rsidRPr="00292A91"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公民與社會發展科學生自學工作紙</w:t>
      </w:r>
    </w:p>
    <w:p w14:paraId="07BEDE88" w14:textId="219FC427" w:rsidR="00292A91" w:rsidRPr="00292A91" w:rsidRDefault="00292A91" w:rsidP="00292A91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r w:rsidRPr="00292A91">
        <w:rPr>
          <w:rFonts w:ascii="Times New Roman" w:hAnsi="Times New Roman" w:cs="Times New Roman"/>
          <w:b/>
          <w:sz w:val="28"/>
          <w:u w:val="thick"/>
        </w:rPr>
        <w:t>香港的公共財政開支及人口結構變化</w:t>
      </w:r>
    </w:p>
    <w:p w14:paraId="54E9F127" w14:textId="2686C560" w:rsidR="00292A91" w:rsidRDefault="00292A91" w:rsidP="00482388">
      <w:pPr>
        <w:jc w:val="center"/>
        <w:rPr>
          <w:rFonts w:ascii="Times New Roman" w:hAnsi="Times New Roman" w:cs="Times New Roman"/>
          <w:b/>
          <w:sz w:val="28"/>
        </w:rPr>
      </w:pPr>
    </w:p>
    <w:p w14:paraId="14A506FB" w14:textId="77777777" w:rsidR="00292A91" w:rsidRPr="008806AE" w:rsidRDefault="00292A91" w:rsidP="00292A91">
      <w:pPr>
        <w:numPr>
          <w:ilvl w:val="0"/>
          <w:numId w:val="9"/>
        </w:numPr>
        <w:spacing w:line="120" w:lineRule="auto"/>
        <w:ind w:left="357"/>
        <w:rPr>
          <w:rFonts w:ascii="Times New Roman" w:eastAsia="新細明體" w:hAnsi="Times New Roman" w:cs="Times New Roman"/>
          <w:b/>
          <w:u w:val="thick"/>
        </w:rPr>
      </w:pPr>
      <w:r w:rsidRPr="008806AE">
        <w:rPr>
          <w:rFonts w:ascii="Times New Roman" w:eastAsia="新細明體" w:hAnsi="Times New Roman" w:cs="Times New Roman" w:hint="eastAsia"/>
          <w:b/>
          <w:u w:val="thick"/>
          <w:lang w:eastAsia="zh-HK"/>
        </w:rPr>
        <w:t>工作紙簡介</w:t>
      </w:r>
    </w:p>
    <w:p w14:paraId="1B4EB60A" w14:textId="792AD1DD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292A91" w:rsidRPr="008806AE" w14:paraId="0342BA48" w14:textId="77777777" w:rsidTr="00FC7039">
        <w:trPr>
          <w:trHeight w:val="726"/>
        </w:trPr>
        <w:tc>
          <w:tcPr>
            <w:tcW w:w="1701" w:type="dxa"/>
            <w:shd w:val="clear" w:color="auto" w:fill="FBE4D5"/>
            <w:vAlign w:val="center"/>
          </w:tcPr>
          <w:p w14:paraId="511D2C8B" w14:textId="77777777" w:rsidR="00292A91" w:rsidRPr="008806AE" w:rsidRDefault="00292A91" w:rsidP="00FC703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自學課題</w:t>
            </w:r>
          </w:p>
        </w:tc>
        <w:tc>
          <w:tcPr>
            <w:tcW w:w="6663" w:type="dxa"/>
            <w:vAlign w:val="center"/>
          </w:tcPr>
          <w:p w14:paraId="6742A863" w14:textId="265B6182" w:rsidR="00292A91" w:rsidRPr="008806AE" w:rsidRDefault="00285492" w:rsidP="00FC7039">
            <w:pPr>
              <w:rPr>
                <w:rFonts w:ascii="Calibri" w:eastAsia="新細明體" w:hAnsi="Calibri" w:cs="Times New Roman"/>
                <w:lang w:eastAsia="zh-HK"/>
              </w:rPr>
            </w:pPr>
            <w:r w:rsidRPr="00285492">
              <w:rPr>
                <w:rFonts w:ascii="Calibri" w:eastAsia="新細明體" w:hAnsi="Calibri" w:cs="Times New Roman" w:hint="eastAsia"/>
              </w:rPr>
              <w:t>香港的公共財政開支及人口結構變化</w:t>
            </w:r>
          </w:p>
        </w:tc>
      </w:tr>
      <w:tr w:rsidR="00292A91" w:rsidRPr="008806AE" w14:paraId="2AE54EB6" w14:textId="77777777" w:rsidTr="00C81297">
        <w:trPr>
          <w:trHeight w:val="1659"/>
        </w:trPr>
        <w:tc>
          <w:tcPr>
            <w:tcW w:w="1701" w:type="dxa"/>
            <w:shd w:val="clear" w:color="auto" w:fill="FBE4D5"/>
            <w:vAlign w:val="center"/>
          </w:tcPr>
          <w:p w14:paraId="31F1073E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8806AE">
              <w:rPr>
                <w:rFonts w:ascii="Times New Roman" w:eastAsia="新細明體" w:hAnsi="Times New Roman" w:cs="Times New Roman"/>
                <w:b/>
              </w:rPr>
              <w:t>相關主題、課題、學習重點</w:t>
            </w:r>
          </w:p>
        </w:tc>
        <w:tc>
          <w:tcPr>
            <w:tcW w:w="6663" w:type="dxa"/>
            <w:vAlign w:val="center"/>
          </w:tcPr>
          <w:p w14:paraId="06AF9A04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主題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：「一國兩制」下的香港</w:t>
            </w:r>
          </w:p>
          <w:p w14:paraId="19B43052" w14:textId="29F0A4AF" w:rsidR="00292A91" w:rsidRPr="008806AE" w:rsidRDefault="00292A91" w:rsidP="00285492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課題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 w:rsidR="00285492" w:rsidRPr="00285492">
              <w:rPr>
                <w:rFonts w:ascii="Times New Roman" w:eastAsia="新細明體" w:hAnsi="Times New Roman" w:cs="Times New Roman" w:hint="eastAsia"/>
                <w:szCs w:val="24"/>
              </w:rPr>
              <w:t>「一國兩制」的內涵和實踐</w:t>
            </w:r>
          </w:p>
          <w:p w14:paraId="30AE7B5A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學習重點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</w:p>
          <w:p w14:paraId="30BF0310" w14:textId="708EB04D" w:rsidR="00292A91" w:rsidRPr="00285492" w:rsidRDefault="00285492" w:rsidP="00285492">
            <w:pPr>
              <w:numPr>
                <w:ilvl w:val="0"/>
                <w:numId w:val="10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85492">
              <w:rPr>
                <w:rFonts w:ascii="Times New Roman" w:eastAsia="新細明體" w:hAnsi="Times New Roman" w:cs="Times New Roman" w:hint="eastAsia"/>
                <w:szCs w:val="24"/>
              </w:rPr>
              <w:t>「一國兩制」及《基本法》的法律依據</w:t>
            </w:r>
          </w:p>
        </w:tc>
      </w:tr>
      <w:tr w:rsidR="00292A91" w:rsidRPr="008806AE" w14:paraId="3ED97FAF" w14:textId="77777777" w:rsidTr="00FC7039">
        <w:trPr>
          <w:trHeight w:val="3114"/>
        </w:trPr>
        <w:tc>
          <w:tcPr>
            <w:tcW w:w="1701" w:type="dxa"/>
            <w:shd w:val="clear" w:color="auto" w:fill="FBE4D5"/>
            <w:vAlign w:val="center"/>
          </w:tcPr>
          <w:p w14:paraId="22803842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b/>
                <w:color w:val="000000"/>
              </w:rPr>
              <w:t>整體構思要旨</w:t>
            </w:r>
          </w:p>
        </w:tc>
        <w:tc>
          <w:tcPr>
            <w:tcW w:w="6663" w:type="dxa"/>
            <w:vAlign w:val="center"/>
          </w:tcPr>
          <w:p w14:paraId="2BFB04E2" w14:textId="1E7E6149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本</w:t>
            </w: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份工作紙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以</w:t>
            </w:r>
            <w:r w:rsidR="00452113" w:rsidRPr="00452113">
              <w:rPr>
                <w:rFonts w:ascii="Times New Roman" w:eastAsia="新細明體" w:hAnsi="Times New Roman" w:cs="Times New Roman" w:hint="eastAsia"/>
                <w:szCs w:val="24"/>
              </w:rPr>
              <w:t>香港</w:t>
            </w:r>
            <w:r w:rsidR="00452113" w:rsidRPr="00452113">
              <w:rPr>
                <w:rFonts w:ascii="DengXian" w:eastAsia="新細明體" w:hAnsi="DengXian" w:cs="Times New Roman" w:hint="eastAsia"/>
                <w:szCs w:val="24"/>
              </w:rPr>
              <w:t>近年公共財政的情況作切入點</w:t>
            </w:r>
            <w:r w:rsidR="00452113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452113" w:rsidRPr="00452113">
              <w:rPr>
                <w:rFonts w:ascii="DengXian" w:eastAsia="新細明體" w:hAnsi="DengXian" w:cs="Times New Roman" w:hint="eastAsia"/>
                <w:szCs w:val="24"/>
              </w:rPr>
              <w:t>然後要求學生描述</w:t>
            </w:r>
            <w:r w:rsidR="00452113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52113" w:rsidRPr="00452113">
              <w:rPr>
                <w:rFonts w:ascii="DengXian" w:eastAsia="新細明體" w:hAnsi="DengXian" w:cs="Times New Roman" w:hint="eastAsia"/>
                <w:szCs w:val="24"/>
              </w:rPr>
              <w:t>分析</w:t>
            </w:r>
            <w:r w:rsidR="00452113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52113" w:rsidRPr="00452113">
              <w:rPr>
                <w:rFonts w:ascii="新細明體" w:eastAsia="新細明體" w:hAnsi="新細明體" w:cs="Times New Roman" w:hint="eastAsia"/>
                <w:szCs w:val="24"/>
              </w:rPr>
              <w:t>及整理</w:t>
            </w:r>
            <w:r w:rsidR="00452113" w:rsidRPr="00452113">
              <w:rPr>
                <w:rFonts w:ascii="DengXian" w:eastAsia="新細明體" w:hAnsi="DengXian" w:cs="Times New Roman" w:hint="eastAsia"/>
                <w:szCs w:val="24"/>
              </w:rPr>
              <w:t>人口資料，再</w:t>
            </w:r>
            <w:r w:rsidR="00452113">
              <w:rPr>
                <w:rFonts w:ascii="Times New Roman" w:eastAsia="新細明體" w:hAnsi="Times New Roman" w:cs="Times New Roman" w:hint="eastAsia"/>
                <w:szCs w:val="24"/>
              </w:rPr>
              <w:t>讓學生</w:t>
            </w:r>
            <w:r w:rsidR="00452113" w:rsidRPr="00452113">
              <w:rPr>
                <w:rFonts w:ascii="新細明體" w:eastAsia="新細明體" w:hAnsi="新細明體" w:cs="Microsoft Sans Serif"/>
                <w:szCs w:val="24"/>
              </w:rPr>
              <w:t>了</w:t>
            </w:r>
            <w:r w:rsidR="00452113" w:rsidRPr="00046315">
              <w:rPr>
                <w:rFonts w:ascii="DengXian" w:eastAsia="新細明體" w:hAnsi="DengXian" w:cs="Times New Roman" w:hint="eastAsia"/>
                <w:szCs w:val="24"/>
              </w:rPr>
              <w:t>解香港的公共財政開支與人口結構</w:t>
            </w:r>
            <w:r w:rsidR="00452113" w:rsidRPr="00452113">
              <w:rPr>
                <w:rFonts w:ascii="DengXian" w:eastAsia="新細明體" w:hAnsi="DengXian" w:cs="Times New Roman" w:hint="eastAsia"/>
                <w:szCs w:val="24"/>
              </w:rPr>
              <w:t>變化</w:t>
            </w:r>
            <w:r w:rsidR="00452113" w:rsidRPr="00046315">
              <w:rPr>
                <w:rFonts w:ascii="DengXian" w:eastAsia="新細明體" w:hAnsi="DengXian" w:cs="Times New Roman" w:hint="eastAsia"/>
                <w:szCs w:val="24"/>
              </w:rPr>
              <w:t>的關係</w:t>
            </w:r>
            <w:r w:rsidR="00452113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另一方面，透過使用</w:t>
            </w:r>
            <w:r w:rsidRPr="00B022AA">
              <w:rPr>
                <w:rFonts w:ascii="Times New Roman" w:eastAsia="新細明體" w:hAnsi="Times New Roman" w:cs="Times New Roman" w:hint="eastAsia"/>
                <w:szCs w:val="24"/>
              </w:rPr>
              <w:t>來自政府部門和政府資助機構的統計數據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作為資料來源</w:t>
            </w:r>
            <w:r w:rsidRPr="00B022AA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期望學生明白</w:t>
            </w:r>
            <w:r w:rsidRPr="00B022AA">
              <w:rPr>
                <w:rFonts w:ascii="Times New Roman" w:eastAsia="新細明體" w:hAnsi="Times New Roman" w:cs="Times New Roman" w:hint="eastAsia"/>
                <w:szCs w:val="24"/>
              </w:rPr>
              <w:t>具公信力和準確可靠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的數據，是公民科的重要學與教資源之一。</w:t>
            </w:r>
          </w:p>
          <w:p w14:paraId="57F721D3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工作紙提供文字和數據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類型的資料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，自</w:t>
            </w:r>
            <w:r w:rsidRPr="008806AE">
              <w:rPr>
                <w:rFonts w:ascii="Times New Roman" w:eastAsia="新細明體" w:hAnsi="Times New Roman" w:cs="Times New Roman"/>
                <w:szCs w:val="24"/>
              </w:rPr>
              <w:t>學題目</w:t>
            </w:r>
            <w:r>
              <w:rPr>
                <w:rFonts w:ascii="Times New Roman" w:eastAsia="新細明體" w:hAnsi="Times New Roman" w:cs="Times New Roman"/>
                <w:szCs w:val="24"/>
              </w:rPr>
              <w:t>按循序漸進的方式，</w:t>
            </w:r>
            <w:r w:rsidRPr="008806AE">
              <w:rPr>
                <w:rFonts w:ascii="Times New Roman" w:eastAsia="新細明體" w:hAnsi="Times New Roman" w:cs="Times New Roman"/>
                <w:szCs w:val="24"/>
              </w:rPr>
              <w:t>要求他們先行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整理數據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8806AE">
              <w:rPr>
                <w:rFonts w:ascii="Times New Roman" w:eastAsia="新細明體" w:hAnsi="Times New Roman" w:cs="Times New Roman"/>
                <w:szCs w:val="24"/>
              </w:rPr>
              <w:t>然後</w:t>
            </w:r>
            <w:r>
              <w:rPr>
                <w:rFonts w:ascii="Times New Roman" w:eastAsia="新細明體" w:hAnsi="Times New Roman" w:cs="Times New Roman"/>
                <w:szCs w:val="24"/>
              </w:rPr>
              <w:t>按整理所得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加</w:t>
            </w:r>
            <w:r w:rsidRPr="008806AE">
              <w:rPr>
                <w:rFonts w:ascii="Times New Roman" w:eastAsia="新細明體" w:hAnsi="Times New Roman" w:cs="Times New Roman"/>
                <w:szCs w:val="24"/>
              </w:rPr>
              <w:t>以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解說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，並</w:t>
            </w:r>
            <w:r w:rsidRPr="00B022AA">
              <w:rPr>
                <w:rFonts w:ascii="Times New Roman" w:eastAsia="新細明體" w:hAnsi="Times New Roman" w:cs="Times New Roman" w:hint="eastAsia"/>
                <w:szCs w:val="24"/>
              </w:rPr>
              <w:t>提出合理的政策建議</w:t>
            </w:r>
            <w:r w:rsidRPr="008806AE">
              <w:rPr>
                <w:rFonts w:ascii="Times New Roman" w:eastAsia="新細明體" w:hAnsi="Times New Roman" w:cs="Times New Roman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藉此培養學生處理和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分析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數據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以及慎思明辨的能力。</w:t>
            </w:r>
          </w:p>
        </w:tc>
      </w:tr>
      <w:tr w:rsidR="00292A91" w:rsidRPr="008806AE" w14:paraId="739B92A2" w14:textId="77777777" w:rsidTr="00FC7039">
        <w:trPr>
          <w:trHeight w:val="854"/>
        </w:trPr>
        <w:tc>
          <w:tcPr>
            <w:tcW w:w="1701" w:type="dxa"/>
            <w:shd w:val="clear" w:color="auto" w:fill="FBE4D5"/>
            <w:vAlign w:val="center"/>
          </w:tcPr>
          <w:p w14:paraId="390422DC" w14:textId="77777777" w:rsidR="00292A91" w:rsidRPr="008806AE" w:rsidRDefault="00292A91" w:rsidP="00FC7039">
            <w:pPr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 w:hint="eastAsia"/>
                <w:b/>
                <w:color w:val="000000"/>
                <w:lang w:eastAsia="zh-HK"/>
              </w:rPr>
              <w:t>完成時間</w:t>
            </w:r>
          </w:p>
        </w:tc>
        <w:tc>
          <w:tcPr>
            <w:tcW w:w="6663" w:type="dxa"/>
            <w:vAlign w:val="center"/>
          </w:tcPr>
          <w:p w14:paraId="6EBA13EE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需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時</w:t>
            </w:r>
            <w:r>
              <w:rPr>
                <w:rFonts w:ascii="Times New Roman" w:eastAsia="新細明體" w:hAnsi="Times New Roman" w:cs="Times New Roman"/>
                <w:szCs w:val="24"/>
              </w:rPr>
              <w:t>30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分鐘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教師請按校本情況安排學生完成。</w:t>
            </w:r>
          </w:p>
        </w:tc>
      </w:tr>
      <w:tr w:rsidR="00292A91" w:rsidRPr="008806AE" w14:paraId="5404D66D" w14:textId="77777777" w:rsidTr="00C81297">
        <w:trPr>
          <w:trHeight w:val="1423"/>
        </w:trPr>
        <w:tc>
          <w:tcPr>
            <w:tcW w:w="1701" w:type="dxa"/>
            <w:shd w:val="clear" w:color="auto" w:fill="FBE4D5"/>
            <w:vAlign w:val="center"/>
          </w:tcPr>
          <w:p w14:paraId="325556C0" w14:textId="77777777" w:rsidR="00292A91" w:rsidRPr="008806AE" w:rsidRDefault="00292A91" w:rsidP="00FC7039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b/>
              </w:rPr>
              <w:t>前備知識</w:t>
            </w:r>
            <w:r w:rsidRPr="008806AE">
              <w:rPr>
                <w:rFonts w:ascii="Times New Roman" w:eastAsia="新細明體" w:hAnsi="Times New Roman" w:cs="Times New Roman"/>
                <w:b/>
              </w:rPr>
              <w:t xml:space="preserve"> / </w:t>
            </w:r>
            <w:r w:rsidRPr="008806AE">
              <w:rPr>
                <w:rFonts w:ascii="Times New Roman" w:eastAsia="新細明體" w:hAnsi="Times New Roman" w:cs="Times New Roman"/>
                <w:b/>
              </w:rPr>
              <w:t>初中的相關學習經歷</w:t>
            </w:r>
          </w:p>
        </w:tc>
        <w:tc>
          <w:tcPr>
            <w:tcW w:w="6663" w:type="dxa"/>
            <w:vAlign w:val="center"/>
          </w:tcPr>
          <w:p w14:paraId="0EEDCE02" w14:textId="26C85165" w:rsidR="00292A91" w:rsidRPr="008806AE" w:rsidRDefault="00292A91" w:rsidP="00C81297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學生在初中階段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的學習經歷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="00C81297" w:rsidRPr="00C812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應對</w:t>
            </w:r>
            <w:r w:rsidR="00C81297" w:rsidRPr="00C81297">
              <w:rPr>
                <w:rFonts w:ascii="DengXian" w:eastAsia="新細明體" w:hAnsi="DengXian" w:cs="Times New Roman" w:hint="eastAsia"/>
                <w:kern w:val="0"/>
                <w:szCs w:val="24"/>
              </w:rPr>
              <w:t>香港的公共財政有初步</w:t>
            </w:r>
            <w:r w:rsidR="00C81297" w:rsidRPr="00C812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認識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。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此外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8806AE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學生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在公民科主題</w:t>
            </w:r>
            <w:r w:rsidRPr="008806AE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的學習經歷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，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亦有助他們應用所學而完成本份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自學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工作紙。</w:t>
            </w:r>
          </w:p>
        </w:tc>
      </w:tr>
    </w:tbl>
    <w:p w14:paraId="7AC1FAA0" w14:textId="0A77B49B" w:rsidR="00292A91" w:rsidRP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2D584B1E" w14:textId="024F2EE3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32C65909" w14:textId="7801E354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7B7B156F" w14:textId="2DEAD74C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2552524E" w14:textId="7ECEDF25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61539636" w14:textId="7C37EB46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0849E70D" w14:textId="73847E62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3CF178BA" w14:textId="1DDCB086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366CCEEF" w14:textId="02A494C3" w:rsid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3429B0AC" w14:textId="6BBD658A" w:rsidR="00292A91" w:rsidRPr="00292A91" w:rsidRDefault="00292A91" w:rsidP="00292A91">
      <w:pPr>
        <w:rPr>
          <w:rFonts w:ascii="Times New Roman" w:hAnsi="Times New Roman" w:cs="Times New Roman"/>
          <w:b/>
          <w:sz w:val="28"/>
        </w:rPr>
      </w:pPr>
    </w:p>
    <w:p w14:paraId="37FC1F9D" w14:textId="77777777" w:rsidR="0012798E" w:rsidRPr="000C273C" w:rsidRDefault="0012798E" w:rsidP="0012798E">
      <w:pPr>
        <w:numPr>
          <w:ilvl w:val="0"/>
          <w:numId w:val="9"/>
        </w:numPr>
        <w:spacing w:line="300" w:lineRule="auto"/>
        <w:rPr>
          <w:rFonts w:ascii="Times New Roman" w:eastAsia="新細明體" w:hAnsi="Times New Roman" w:cs="Times New Roman"/>
          <w:b/>
          <w:u w:val="thick"/>
        </w:rPr>
      </w:pPr>
      <w:r w:rsidRPr="000C273C">
        <w:rPr>
          <w:rFonts w:ascii="Times New Roman" w:eastAsia="新細明體" w:hAnsi="Times New Roman" w:cs="Times New Roman" w:hint="eastAsia"/>
          <w:b/>
          <w:u w:val="thick"/>
          <w:lang w:eastAsia="zh-HK"/>
        </w:rPr>
        <w:lastRenderedPageBreak/>
        <w:t>工作紙設計</w:t>
      </w:r>
      <w:r w:rsidRPr="000C273C">
        <w:rPr>
          <w:rFonts w:ascii="Times New Roman" w:eastAsia="新細明體" w:hAnsi="Times New Roman" w:cs="Times New Roman" w:hint="eastAsia"/>
        </w:rPr>
        <w:t>（</w:t>
      </w:r>
      <w:r w:rsidRPr="000C273C">
        <w:rPr>
          <w:rFonts w:ascii="Times New Roman" w:eastAsia="新細明體" w:hAnsi="Times New Roman" w:cs="Times New Roman" w:hint="eastAsia"/>
          <w:lang w:eastAsia="zh-HK"/>
        </w:rPr>
        <w:t>包含閱讀資料及自學題目</w:t>
      </w:r>
      <w:r w:rsidRPr="000C273C">
        <w:rPr>
          <w:rFonts w:ascii="Times New Roman" w:eastAsia="新細明體" w:hAnsi="Times New Roman" w:cs="Times New Roman" w:hint="eastAsia"/>
        </w:rPr>
        <w:t>）</w:t>
      </w:r>
    </w:p>
    <w:p w14:paraId="33931F90" w14:textId="77777777" w:rsidR="00AA6115" w:rsidRPr="0012798E" w:rsidRDefault="00AA6115" w:rsidP="006B22DD">
      <w:pPr>
        <w:jc w:val="both"/>
        <w:rPr>
          <w:rFonts w:ascii="Times New Roman" w:hAnsi="Times New Roman" w:cs="Times New Roman"/>
        </w:rPr>
      </w:pPr>
    </w:p>
    <w:p w14:paraId="2F332EBD" w14:textId="77777777" w:rsidR="0012798E" w:rsidRPr="000C273C" w:rsidRDefault="0012798E" w:rsidP="0012798E">
      <w:pPr>
        <w:rPr>
          <w:rFonts w:ascii="Times New Roman" w:eastAsia="新細明體" w:hAnsi="Times New Roman" w:cs="Times New Roman"/>
          <w:b/>
          <w:u w:val="thick"/>
        </w:rPr>
      </w:pPr>
      <w:r>
        <w:rPr>
          <w:rFonts w:ascii="Times New Roman" w:eastAsia="新細明體" w:hAnsi="Times New Roman" w:cs="Times New Roman" w:hint="eastAsia"/>
          <w:b/>
          <w:lang w:eastAsia="zh-HK"/>
        </w:rPr>
        <w:t>閱讀以下各</w:t>
      </w:r>
      <w:r w:rsidRPr="000C273C">
        <w:rPr>
          <w:rFonts w:ascii="Times New Roman" w:eastAsia="新細明體" w:hAnsi="Times New Roman" w:cs="Times New Roman" w:hint="eastAsia"/>
          <w:b/>
          <w:lang w:eastAsia="zh-HK"/>
        </w:rPr>
        <w:t>則資料</w:t>
      </w:r>
      <w:r w:rsidRPr="000C273C">
        <w:rPr>
          <w:rFonts w:ascii="Times New Roman" w:eastAsia="新細明體" w:hAnsi="Times New Roman" w:cs="Times New Roman" w:hint="eastAsia"/>
          <w:b/>
        </w:rPr>
        <w:t>，</w:t>
      </w:r>
      <w:r w:rsidRPr="000C273C">
        <w:rPr>
          <w:rFonts w:ascii="Times New Roman" w:eastAsia="新細明體" w:hAnsi="Times New Roman" w:cs="Times New Roman" w:hint="eastAsia"/>
          <w:b/>
          <w:lang w:eastAsia="zh-HK"/>
        </w:rPr>
        <w:t>然後回答自學題目</w:t>
      </w:r>
      <w:r w:rsidRPr="000C273C">
        <w:rPr>
          <w:rFonts w:ascii="Times New Roman" w:eastAsia="新細明體" w:hAnsi="Times New Roman" w:cs="Times New Roman" w:hint="eastAsia"/>
          <w:b/>
        </w:rPr>
        <w:t>。</w:t>
      </w:r>
    </w:p>
    <w:p w14:paraId="4D60B898" w14:textId="77777777" w:rsidR="006B22DD" w:rsidRPr="0012798E" w:rsidRDefault="006B22DD" w:rsidP="00EF07E8">
      <w:pPr>
        <w:rPr>
          <w:rFonts w:ascii="Times New Roman" w:hAnsi="Times New Roman" w:cs="Times New Roman"/>
          <w:b/>
        </w:rPr>
      </w:pPr>
    </w:p>
    <w:p w14:paraId="12967A09" w14:textId="77777777" w:rsidR="00EF07E8" w:rsidRDefault="00C832E5" w:rsidP="00EF07E8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資料一</w:t>
      </w:r>
      <w:r w:rsidRPr="00E831BD">
        <w:rPr>
          <w:rFonts w:ascii="Times New Roman" w:hAnsi="Times New Roman" w:cs="Times New Roman"/>
        </w:rPr>
        <w:t xml:space="preserve"> : </w:t>
      </w:r>
      <w:r w:rsidRPr="00E831BD">
        <w:rPr>
          <w:rFonts w:ascii="Times New Roman" w:hAnsi="Times New Roman" w:cs="Times New Roman"/>
        </w:rPr>
        <w:t>香港</w:t>
      </w:r>
      <w:r w:rsidR="00E831BD" w:rsidRPr="00E831BD">
        <w:rPr>
          <w:rFonts w:ascii="Times New Roman" w:hAnsi="Times New Roman" w:cs="Times New Roman"/>
        </w:rPr>
        <w:t>特區</w:t>
      </w:r>
      <w:r w:rsidRPr="00E831BD">
        <w:rPr>
          <w:rFonts w:ascii="Times New Roman" w:hAnsi="Times New Roman" w:cs="Times New Roman"/>
        </w:rPr>
        <w:t>政府</w:t>
      </w:r>
      <w:r w:rsidR="00E831BD" w:rsidRPr="00E831BD">
        <w:rPr>
          <w:rFonts w:ascii="Times New Roman" w:hAnsi="Times New Roman" w:cs="Times New Roman"/>
        </w:rPr>
        <w:t>的</w:t>
      </w:r>
      <w:r w:rsidRPr="00E831BD">
        <w:rPr>
          <w:rFonts w:ascii="Times New Roman" w:hAnsi="Times New Roman" w:cs="Times New Roman"/>
        </w:rPr>
        <w:t>總收入及開支</w:t>
      </w:r>
    </w:p>
    <w:p w14:paraId="31D46471" w14:textId="77777777" w:rsidR="007D778C" w:rsidRPr="00E831BD" w:rsidRDefault="007D778C" w:rsidP="00EF07E8">
      <w:pPr>
        <w:rPr>
          <w:rFonts w:ascii="Times New Roman" w:hAnsi="Times New Roman" w:cs="Times New Roman"/>
        </w:rPr>
      </w:pPr>
    </w:p>
    <w:tbl>
      <w:tblPr>
        <w:tblStyle w:val="a7"/>
        <w:tblW w:w="8334" w:type="dxa"/>
        <w:tblLook w:val="04A0" w:firstRow="1" w:lastRow="0" w:firstColumn="1" w:lastColumn="0" w:noHBand="0" w:noVBand="1"/>
      </w:tblPr>
      <w:tblGrid>
        <w:gridCol w:w="1736"/>
        <w:gridCol w:w="3339"/>
        <w:gridCol w:w="3259"/>
      </w:tblGrid>
      <w:tr w:rsidR="00103A16" w:rsidRPr="00E831BD" w14:paraId="57F471AD" w14:textId="77777777" w:rsidTr="00D74D16">
        <w:trPr>
          <w:trHeight w:val="355"/>
        </w:trPr>
        <w:tc>
          <w:tcPr>
            <w:tcW w:w="1736" w:type="dxa"/>
          </w:tcPr>
          <w:p w14:paraId="3C1E0D3B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31BD">
              <w:rPr>
                <w:rFonts w:ascii="Times New Roman" w:hAnsi="Times New Roman" w:cs="Times New Roman"/>
              </w:rPr>
              <w:t>財政年度</w:t>
            </w:r>
          </w:p>
        </w:tc>
        <w:tc>
          <w:tcPr>
            <w:tcW w:w="3339" w:type="dxa"/>
          </w:tcPr>
          <w:p w14:paraId="67EE6387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總收入</w:t>
            </w:r>
            <w:r w:rsidR="00E831BD">
              <w:rPr>
                <w:rFonts w:ascii="Times New Roman" w:hAnsi="Times New Roman" w:cs="Times New Roman"/>
              </w:rPr>
              <w:t>（</w:t>
            </w:r>
            <w:r w:rsidRPr="00E831BD">
              <w:rPr>
                <w:rFonts w:ascii="Times New Roman" w:hAnsi="Times New Roman" w:cs="Times New Roman"/>
              </w:rPr>
              <w:t>億元</w:t>
            </w:r>
            <w:r w:rsidR="00E831B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259" w:type="dxa"/>
          </w:tcPr>
          <w:p w14:paraId="3F6D1CBE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總開支</w:t>
            </w:r>
            <w:r w:rsidR="00E831BD">
              <w:rPr>
                <w:rFonts w:ascii="Times New Roman" w:hAnsi="Times New Roman" w:cs="Times New Roman"/>
              </w:rPr>
              <w:t>（</w:t>
            </w:r>
            <w:r w:rsidRPr="00E831BD">
              <w:rPr>
                <w:rFonts w:ascii="Times New Roman" w:hAnsi="Times New Roman" w:cs="Times New Roman"/>
              </w:rPr>
              <w:t>億元</w:t>
            </w:r>
            <w:r w:rsidR="00E831BD">
              <w:rPr>
                <w:rFonts w:ascii="Times New Roman" w:hAnsi="Times New Roman" w:cs="Times New Roman"/>
              </w:rPr>
              <w:t>）</w:t>
            </w:r>
          </w:p>
        </w:tc>
      </w:tr>
      <w:tr w:rsidR="00103A16" w:rsidRPr="00E831BD" w14:paraId="4186BB2E" w14:textId="77777777" w:rsidTr="00D74D16">
        <w:trPr>
          <w:trHeight w:val="355"/>
        </w:trPr>
        <w:tc>
          <w:tcPr>
            <w:tcW w:w="1736" w:type="dxa"/>
          </w:tcPr>
          <w:p w14:paraId="57B9CCB8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3339" w:type="dxa"/>
          </w:tcPr>
          <w:p w14:paraId="0DEF84A4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5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3259" w:type="dxa"/>
          </w:tcPr>
          <w:p w14:paraId="38C03A3B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4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914</w:t>
            </w:r>
          </w:p>
        </w:tc>
      </w:tr>
      <w:tr w:rsidR="00103A16" w:rsidRPr="00E831BD" w14:paraId="27D008FF" w14:textId="77777777" w:rsidTr="00D74D16">
        <w:trPr>
          <w:trHeight w:val="355"/>
        </w:trPr>
        <w:tc>
          <w:tcPr>
            <w:tcW w:w="1736" w:type="dxa"/>
          </w:tcPr>
          <w:p w14:paraId="68C7B411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3339" w:type="dxa"/>
          </w:tcPr>
          <w:p w14:paraId="5053E0A4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6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259" w:type="dxa"/>
          </w:tcPr>
          <w:p w14:paraId="3CDDE612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4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065</w:t>
            </w:r>
          </w:p>
        </w:tc>
      </w:tr>
      <w:tr w:rsidR="00103A16" w:rsidRPr="00E831BD" w14:paraId="6EB69126" w14:textId="77777777" w:rsidTr="00D74D16">
        <w:trPr>
          <w:trHeight w:val="355"/>
        </w:trPr>
        <w:tc>
          <w:tcPr>
            <w:tcW w:w="1736" w:type="dxa"/>
          </w:tcPr>
          <w:p w14:paraId="72F5EAE9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339" w:type="dxa"/>
          </w:tcPr>
          <w:p w14:paraId="5F41E966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6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259" w:type="dxa"/>
          </w:tcPr>
          <w:p w14:paraId="7EA3D886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6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078</w:t>
            </w:r>
          </w:p>
        </w:tc>
      </w:tr>
      <w:tr w:rsidR="00103A16" w:rsidRPr="00E831BD" w14:paraId="1B657F01" w14:textId="77777777" w:rsidTr="00D74D16">
        <w:trPr>
          <w:trHeight w:val="355"/>
        </w:trPr>
        <w:tc>
          <w:tcPr>
            <w:tcW w:w="1736" w:type="dxa"/>
          </w:tcPr>
          <w:p w14:paraId="6CEB6466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339" w:type="dxa"/>
          </w:tcPr>
          <w:p w14:paraId="1D77982A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5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259" w:type="dxa"/>
          </w:tcPr>
          <w:p w14:paraId="10154785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7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311</w:t>
            </w:r>
          </w:p>
        </w:tc>
      </w:tr>
      <w:tr w:rsidR="00103A16" w:rsidRPr="00E831BD" w14:paraId="1E743C19" w14:textId="77777777" w:rsidTr="00D74D16">
        <w:trPr>
          <w:trHeight w:val="355"/>
        </w:trPr>
        <w:tc>
          <w:tcPr>
            <w:tcW w:w="1736" w:type="dxa"/>
          </w:tcPr>
          <w:p w14:paraId="1FC5F9FE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339" w:type="dxa"/>
          </w:tcPr>
          <w:p w14:paraId="09145AB2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5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259" w:type="dxa"/>
          </w:tcPr>
          <w:p w14:paraId="6CE814D6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7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278</w:t>
            </w:r>
          </w:p>
        </w:tc>
      </w:tr>
      <w:tr w:rsidR="00103A16" w:rsidRPr="00E831BD" w14:paraId="4AFEF91C" w14:textId="77777777" w:rsidTr="00D74D16">
        <w:trPr>
          <w:trHeight w:val="344"/>
        </w:trPr>
        <w:tc>
          <w:tcPr>
            <w:tcW w:w="1736" w:type="dxa"/>
          </w:tcPr>
          <w:p w14:paraId="6C32435A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339" w:type="dxa"/>
          </w:tcPr>
          <w:p w14:paraId="5F4EBD58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7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59" w:type="dxa"/>
          </w:tcPr>
          <w:p w14:paraId="6AC2B74D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8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073</w:t>
            </w:r>
          </w:p>
        </w:tc>
      </w:tr>
    </w:tbl>
    <w:p w14:paraId="32A795D8" w14:textId="77777777" w:rsidR="00F1786A" w:rsidRPr="00E831BD" w:rsidRDefault="002851A2">
      <w:pPr>
        <w:rPr>
          <w:rFonts w:ascii="Times New Roman" w:hAnsi="Times New Roman" w:cs="Times New Roman"/>
          <w:sz w:val="20"/>
          <w:szCs w:val="20"/>
        </w:rPr>
      </w:pPr>
      <w:r w:rsidRPr="00E831BD">
        <w:rPr>
          <w:rFonts w:ascii="Times New Roman" w:hAnsi="Times New Roman" w:cs="Times New Roman"/>
          <w:sz w:val="20"/>
          <w:szCs w:val="20"/>
        </w:rPr>
        <w:t>參考資料</w:t>
      </w:r>
      <w:r w:rsidR="00CF475B" w:rsidRPr="00E831BD">
        <w:rPr>
          <w:rFonts w:ascii="Times New Roman" w:hAnsi="Times New Roman" w:cs="Times New Roman"/>
          <w:sz w:val="20"/>
          <w:szCs w:val="20"/>
        </w:rPr>
        <w:t>：</w:t>
      </w:r>
      <w:r w:rsidR="00C832E5" w:rsidRPr="00E831BD">
        <w:rPr>
          <w:rFonts w:ascii="Times New Roman" w:hAnsi="Times New Roman" w:cs="Times New Roman"/>
          <w:sz w:val="20"/>
          <w:szCs w:val="20"/>
        </w:rPr>
        <w:t>財政預算案網站</w:t>
      </w:r>
      <w:r w:rsidR="00C832E5" w:rsidRPr="00E831BD">
        <w:rPr>
          <w:rFonts w:ascii="Times New Roman" w:hAnsi="Times New Roman" w:cs="Times New Roman"/>
          <w:sz w:val="20"/>
          <w:szCs w:val="20"/>
        </w:rPr>
        <w:t>https://www.budget.gov.hk/2022/chi/io.html</w:t>
      </w:r>
    </w:p>
    <w:p w14:paraId="564C0CD5" w14:textId="77777777" w:rsidR="00E831BD" w:rsidRPr="00E831BD" w:rsidRDefault="00E831BD">
      <w:pPr>
        <w:rPr>
          <w:rFonts w:ascii="Times New Roman" w:hAnsi="Times New Roman" w:cs="Times New Roman"/>
        </w:rPr>
      </w:pPr>
    </w:p>
    <w:p w14:paraId="3E953107" w14:textId="19B778AF" w:rsidR="00F1786A" w:rsidRDefault="00C832E5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資料二：</w:t>
      </w:r>
      <w:r w:rsidR="00497C2B" w:rsidRPr="00E831BD">
        <w:rPr>
          <w:rFonts w:ascii="Times New Roman" w:hAnsi="Times New Roman" w:cs="Times New Roman"/>
        </w:rPr>
        <w:t>財政司司長陳茂波</w:t>
      </w:r>
      <w:r w:rsidR="007D778C">
        <w:rPr>
          <w:rFonts w:ascii="Times New Roman" w:hAnsi="Times New Roman" w:cs="Times New Roman" w:hint="eastAsia"/>
        </w:rPr>
        <w:t>解釋特區政府的財政政策</w:t>
      </w:r>
    </w:p>
    <w:p w14:paraId="7C86B7B9" w14:textId="77777777" w:rsidR="007D778C" w:rsidRPr="00E831BD" w:rsidRDefault="007D778C">
      <w:pPr>
        <w:rPr>
          <w:rFonts w:ascii="Times New Roman" w:hAnsi="Times New Roman" w:cs="Times New Roman"/>
        </w:rPr>
      </w:pPr>
    </w:p>
    <w:p w14:paraId="574340C5" w14:textId="77777777" w:rsidR="00433257" w:rsidRPr="00E831BD" w:rsidRDefault="00433257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2895A" wp14:editId="6342B4BB">
                <wp:simplePos x="0" y="0"/>
                <wp:positionH relativeFrom="margin">
                  <wp:posOffset>-38100</wp:posOffset>
                </wp:positionH>
                <wp:positionV relativeFrom="paragraph">
                  <wp:posOffset>25400</wp:posOffset>
                </wp:positionV>
                <wp:extent cx="5334000" cy="1752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0A66D" w14:textId="77777777" w:rsidR="00433257" w:rsidRPr="007D778C" w:rsidRDefault="00433257" w:rsidP="007D778C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過去幾年的經濟受</w:t>
                            </w:r>
                            <w:r w:rsidR="00A33009" w:rsidRPr="007D778C">
                              <w:rPr>
                                <w:rFonts w:ascii="Times New Roman" w:hAnsi="Times New Roman" w:cs="Times New Roman"/>
                              </w:rPr>
                              <w:t>新冠肺炎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疫情困擾，來自各項稅款及政府收費的財政收入都有減少，三年來的防疫抗疫及支援措施涉及財政支出共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6,000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多億元，這兩項因素令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2020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年度出現歷來最高、多達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2,000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多億元財政赤字。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2022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年度赤字預計也將達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1,000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多億。在對抗疫情及經濟下行之際，我們堅定及果斷地採取了擴張性財政政策，透過逆周期措施增強對市民及中小企的支援，穩住了社會和市場信心。措施亦發揮了預期成效，並獲得市場及評級機構的認同。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8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pt;width:420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" fillcolor="white [3201]" strokeweight=".5pt">
                <v:textbox>
                  <w:txbxContent>
                    <w:p w14:paraId="0E30A66D" w14:textId="77777777" w:rsidR="00433257" w:rsidRPr="007D778C" w:rsidRDefault="00433257" w:rsidP="007D778C">
                      <w:pPr>
                        <w:ind w:firstLineChars="200" w:firstLine="4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D778C">
                        <w:rPr>
                          <w:rFonts w:ascii="Times New Roman" w:hAnsi="Times New Roman" w:cs="Times New Roman"/>
                        </w:rPr>
                        <w:t>過去幾年的經濟受</w:t>
                      </w:r>
                      <w:proofErr w:type="gramStart"/>
                      <w:r w:rsidR="00A33009" w:rsidRPr="007D778C">
                        <w:rPr>
                          <w:rFonts w:ascii="Times New Roman" w:hAnsi="Times New Roman" w:cs="Times New Roman"/>
                        </w:rPr>
                        <w:t>新冠肺炎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疫</w:t>
                      </w:r>
                      <w:proofErr w:type="gramEnd"/>
                      <w:r w:rsidRPr="007D778C">
                        <w:rPr>
                          <w:rFonts w:ascii="Times New Roman" w:hAnsi="Times New Roman" w:cs="Times New Roman"/>
                        </w:rPr>
                        <w:t>情困擾，來自各項稅款及政府收費的財政收入都有減少，三年來的防疫抗</w:t>
                      </w:r>
                      <w:proofErr w:type="gramStart"/>
                      <w:r w:rsidRPr="007D778C">
                        <w:rPr>
                          <w:rFonts w:ascii="Times New Roman" w:hAnsi="Times New Roman" w:cs="Times New Roman"/>
                        </w:rPr>
                        <w:t>疫</w:t>
                      </w:r>
                      <w:proofErr w:type="gramEnd"/>
                      <w:r w:rsidRPr="007D778C">
                        <w:rPr>
                          <w:rFonts w:ascii="Times New Roman" w:hAnsi="Times New Roman" w:cs="Times New Roman"/>
                        </w:rPr>
                        <w:t>及支援措施涉及財政支出共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6,000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多億元，這兩項因素令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2020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21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年度出現歷來最高、多達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2,000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多億元財政赤字。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2022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年度赤字預計也將達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1,000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多億。在對抗</w:t>
                      </w:r>
                      <w:proofErr w:type="gramStart"/>
                      <w:r w:rsidRPr="007D778C">
                        <w:rPr>
                          <w:rFonts w:ascii="Times New Roman" w:hAnsi="Times New Roman" w:cs="Times New Roman"/>
                        </w:rPr>
                        <w:t>疫情及</w:t>
                      </w:r>
                      <w:proofErr w:type="gramEnd"/>
                      <w:r w:rsidRPr="007D778C">
                        <w:rPr>
                          <w:rFonts w:ascii="Times New Roman" w:hAnsi="Times New Roman" w:cs="Times New Roman"/>
                        </w:rPr>
                        <w:t>經濟下行之際，我們堅定及果斷地採取了擴張性財政政策，透過逆周期措施增強對市民及中小企的支援，穩住了社會和市場信心。措施亦發揮了預期成效，並獲得市場及評級機構的認同。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8BC7A" w14:textId="77777777" w:rsidR="00497C2B" w:rsidRPr="00E831BD" w:rsidRDefault="00497C2B">
      <w:pPr>
        <w:rPr>
          <w:rFonts w:ascii="Times New Roman" w:hAnsi="Times New Roman" w:cs="Times New Roman"/>
        </w:rPr>
      </w:pPr>
    </w:p>
    <w:p w14:paraId="32037847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4A29FB1B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4793274E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7357B5C6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06E54FFD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263A557C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26EE2ED8" w14:textId="77777777" w:rsidR="00C832E5" w:rsidRPr="00E831BD" w:rsidRDefault="00497C2B" w:rsidP="007D778C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E831BD">
        <w:rPr>
          <w:rFonts w:ascii="Times New Roman" w:hAnsi="Times New Roman" w:cs="Times New Roman"/>
          <w:sz w:val="20"/>
          <w:szCs w:val="20"/>
        </w:rPr>
        <w:t>資料來源：</w:t>
      </w:r>
      <w:r w:rsidR="007D778C">
        <w:rPr>
          <w:rFonts w:ascii="Times New Roman" w:hAnsi="Times New Roman" w:cs="Times New Roman"/>
          <w:sz w:val="20"/>
          <w:szCs w:val="20"/>
        </w:rPr>
        <w:t>節錄自陳</w:t>
      </w:r>
      <w:r w:rsidR="007D778C" w:rsidRPr="007D778C">
        <w:rPr>
          <w:rFonts w:ascii="Times New Roman" w:hAnsi="Times New Roman" w:cs="Times New Roman" w:hint="eastAsia"/>
          <w:sz w:val="20"/>
          <w:szCs w:val="20"/>
        </w:rPr>
        <w:t>茂波</w:t>
      </w:r>
      <w:r w:rsidR="007D778C">
        <w:rPr>
          <w:rFonts w:ascii="Times New Roman" w:hAnsi="Times New Roman" w:cs="Times New Roman" w:hint="eastAsia"/>
          <w:sz w:val="20"/>
          <w:szCs w:val="20"/>
        </w:rPr>
        <w:t>〈</w:t>
      </w:r>
      <w:r w:rsidR="007D778C" w:rsidRPr="007D778C">
        <w:rPr>
          <w:rFonts w:ascii="Times New Roman" w:hAnsi="Times New Roman" w:cs="Times New Roman" w:hint="eastAsia"/>
          <w:sz w:val="20"/>
          <w:szCs w:val="20"/>
        </w:rPr>
        <w:t>財政政策因時制宜</w:t>
      </w:r>
      <w:r w:rsidR="007D778C">
        <w:rPr>
          <w:rFonts w:ascii="Times New Roman" w:hAnsi="Times New Roman" w:cs="Times New Roman" w:hint="eastAsia"/>
          <w:sz w:val="20"/>
          <w:szCs w:val="20"/>
        </w:rPr>
        <w:t>〉，</w:t>
      </w:r>
      <w:r w:rsidR="007D778C">
        <w:rPr>
          <w:rFonts w:ascii="Times New Roman" w:hAnsi="Times New Roman" w:cs="Times New Roman" w:hint="eastAsia"/>
          <w:sz w:val="20"/>
          <w:szCs w:val="20"/>
        </w:rPr>
        <w:t>2</w:t>
      </w:r>
      <w:r w:rsidR="007D778C">
        <w:rPr>
          <w:rFonts w:ascii="Times New Roman" w:hAnsi="Times New Roman" w:cs="Times New Roman"/>
          <w:sz w:val="20"/>
          <w:szCs w:val="20"/>
        </w:rPr>
        <w:t>023</w:t>
      </w:r>
      <w:r w:rsidR="007D778C">
        <w:rPr>
          <w:rFonts w:ascii="Times New Roman" w:hAnsi="Times New Roman" w:cs="Times New Roman"/>
          <w:sz w:val="20"/>
          <w:szCs w:val="20"/>
        </w:rPr>
        <w:t>年</w:t>
      </w:r>
      <w:r w:rsidR="007D778C">
        <w:rPr>
          <w:rFonts w:ascii="Times New Roman" w:hAnsi="Times New Roman" w:cs="Times New Roman" w:hint="eastAsia"/>
          <w:sz w:val="20"/>
          <w:szCs w:val="20"/>
        </w:rPr>
        <w:t>1</w:t>
      </w:r>
      <w:r w:rsidR="007D778C">
        <w:rPr>
          <w:rFonts w:ascii="Times New Roman" w:hAnsi="Times New Roman" w:cs="Times New Roman" w:hint="eastAsia"/>
          <w:sz w:val="20"/>
          <w:szCs w:val="20"/>
        </w:rPr>
        <w:t>月</w:t>
      </w:r>
      <w:r w:rsidR="007D778C">
        <w:rPr>
          <w:rFonts w:ascii="Times New Roman" w:hAnsi="Times New Roman" w:cs="Times New Roman" w:hint="eastAsia"/>
          <w:sz w:val="20"/>
          <w:szCs w:val="20"/>
        </w:rPr>
        <w:t>2</w:t>
      </w:r>
      <w:r w:rsidR="007D778C">
        <w:rPr>
          <w:rFonts w:ascii="Times New Roman" w:hAnsi="Times New Roman" w:cs="Times New Roman"/>
          <w:sz w:val="20"/>
          <w:szCs w:val="20"/>
        </w:rPr>
        <w:t>9</w:t>
      </w:r>
      <w:r w:rsidR="007D778C">
        <w:rPr>
          <w:rFonts w:ascii="Times New Roman" w:hAnsi="Times New Roman" w:cs="Times New Roman"/>
          <w:sz w:val="20"/>
          <w:szCs w:val="20"/>
        </w:rPr>
        <w:t>日。</w:t>
      </w:r>
      <w:r w:rsidRPr="00E831BD">
        <w:rPr>
          <w:rFonts w:ascii="Times New Roman" w:hAnsi="Times New Roman" w:cs="Times New Roman"/>
          <w:sz w:val="20"/>
          <w:szCs w:val="20"/>
        </w:rPr>
        <w:t>政府新聞網</w:t>
      </w:r>
      <w:r w:rsidRPr="00E831BD">
        <w:rPr>
          <w:rFonts w:ascii="Times New Roman" w:hAnsi="Times New Roman" w:cs="Times New Roman"/>
          <w:sz w:val="20"/>
          <w:szCs w:val="20"/>
        </w:rPr>
        <w:t>https://www.news.gov.hk/chi/2023/01/20230129/20230129_111521_817.html</w:t>
      </w:r>
    </w:p>
    <w:p w14:paraId="1A87E22C" w14:textId="77777777" w:rsidR="00C832E5" w:rsidRPr="00E831BD" w:rsidRDefault="00C832E5">
      <w:pPr>
        <w:rPr>
          <w:rFonts w:ascii="Times New Roman" w:hAnsi="Times New Roman" w:cs="Times New Roman"/>
        </w:rPr>
      </w:pPr>
    </w:p>
    <w:p w14:paraId="69FC7352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14E0F99E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15D4DA4C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21C75C6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7831414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14A2E4F1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4835AD6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4E4AC0B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24D09E20" w14:textId="249547C7" w:rsidR="00681A9C" w:rsidRDefault="00681A9C">
      <w:pPr>
        <w:rPr>
          <w:rFonts w:ascii="Times New Roman" w:hAnsi="Times New Roman" w:cs="Times New Roman"/>
        </w:rPr>
      </w:pPr>
    </w:p>
    <w:p w14:paraId="0DEF6E5E" w14:textId="77777777" w:rsidR="00C3470C" w:rsidRDefault="00C3470C">
      <w:pPr>
        <w:rPr>
          <w:rFonts w:ascii="Times New Roman" w:hAnsi="Times New Roman" w:cs="Times New Roman"/>
        </w:rPr>
      </w:pPr>
    </w:p>
    <w:p w14:paraId="671AA086" w14:textId="77777777" w:rsidR="009F240D" w:rsidRPr="00E831BD" w:rsidRDefault="009F240D">
      <w:pPr>
        <w:rPr>
          <w:rFonts w:ascii="Times New Roman" w:hAnsi="Times New Roman" w:cs="Times New Roman"/>
        </w:rPr>
      </w:pPr>
    </w:p>
    <w:p w14:paraId="0DD047A2" w14:textId="5616186C" w:rsidR="007063DC" w:rsidRDefault="00F76508">
      <w:pPr>
        <w:rPr>
          <w:rFonts w:ascii="Times New Roman" w:hAnsi="Times New Roman" w:cs="Times New Roman"/>
          <w:szCs w:val="24"/>
        </w:rPr>
      </w:pPr>
      <w:r w:rsidRPr="00E831BD">
        <w:rPr>
          <w:rFonts w:ascii="Times New Roman" w:hAnsi="Times New Roman" w:cs="Times New Roman"/>
          <w:szCs w:val="24"/>
        </w:rPr>
        <w:t>資料三：</w:t>
      </w:r>
      <w:r w:rsidR="00E02671" w:rsidRPr="00E831BD">
        <w:rPr>
          <w:rFonts w:ascii="Times New Roman" w:hAnsi="Times New Roman" w:cs="Times New Roman"/>
          <w:szCs w:val="24"/>
        </w:rPr>
        <w:t>香</w:t>
      </w:r>
      <w:r w:rsidR="007063DC" w:rsidRPr="00E831BD">
        <w:rPr>
          <w:rFonts w:ascii="Times New Roman" w:hAnsi="Times New Roman" w:cs="Times New Roman" w:hint="eastAsia"/>
          <w:szCs w:val="24"/>
        </w:rPr>
        <w:t>港</w:t>
      </w:r>
      <w:r w:rsidR="007063DC" w:rsidRPr="00E831BD">
        <w:rPr>
          <w:rFonts w:ascii="Times New Roman" w:hAnsi="Times New Roman" w:cs="Times New Roman"/>
        </w:rPr>
        <w:t>特區政府的</w:t>
      </w:r>
      <w:r w:rsidR="007063DC" w:rsidRPr="00E831BD">
        <w:rPr>
          <w:rFonts w:ascii="Times New Roman" w:hAnsi="Times New Roman" w:cs="Times New Roman" w:hint="eastAsia"/>
          <w:szCs w:val="24"/>
        </w:rPr>
        <w:t>人口</w:t>
      </w:r>
      <w:r w:rsidR="007063DC" w:rsidRPr="00CE1475">
        <w:rPr>
          <w:rFonts w:ascii="DengXian" w:eastAsia="新細明體" w:hAnsi="Times New Roman" w:cs="Times New Roman" w:hint="eastAsia"/>
          <w:szCs w:val="24"/>
        </w:rPr>
        <w:t>資料</w:t>
      </w:r>
    </w:p>
    <w:p w14:paraId="2477DAFD" w14:textId="0B71F447" w:rsidR="007063DC" w:rsidRDefault="007063DC">
      <w:pPr>
        <w:rPr>
          <w:rFonts w:ascii="Times New Roman" w:hAnsi="Times New Roman" w:cs="Times New Roman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741"/>
      </w:tblGrid>
      <w:tr w:rsidR="007063DC" w14:paraId="4CA8FC9B" w14:textId="77777777" w:rsidTr="00B2557B">
        <w:trPr>
          <w:trHeight w:val="6243"/>
        </w:trPr>
        <w:tc>
          <w:tcPr>
            <w:tcW w:w="8500" w:type="dxa"/>
          </w:tcPr>
          <w:p w14:paraId="5AB551F5" w14:textId="77777777" w:rsidR="007063DC" w:rsidRDefault="007063DC" w:rsidP="00CE1475">
            <w:pPr>
              <w:jc w:val="center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AE5677">
              <w:rPr>
                <w:rFonts w:ascii="Times New Roman" w:hAnsi="Times New Roman" w:cs="Times New Roman"/>
                <w:szCs w:val="24"/>
                <w:u w:val="single"/>
              </w:rPr>
              <w:t>1961</w:t>
            </w:r>
            <w:r w:rsidRPr="0059585D">
              <w:rPr>
                <w:rFonts w:asciiTheme="minorEastAsia" w:hAnsiTheme="minorEastAsia" w:cs="Times New Roman" w:hint="eastAsia"/>
                <w:szCs w:val="24"/>
                <w:u w:val="single"/>
              </w:rPr>
              <w:t>年及</w:t>
            </w:r>
            <w:r w:rsidRPr="00AE5677">
              <w:rPr>
                <w:rFonts w:ascii="Times New Roman" w:hAnsi="Times New Roman" w:cs="Times New Roman"/>
                <w:szCs w:val="24"/>
                <w:u w:val="single"/>
              </w:rPr>
              <w:t>2021</w:t>
            </w:r>
            <w:r w:rsidRPr="0059585D">
              <w:rPr>
                <w:rFonts w:asciiTheme="minorEastAsia" w:hAnsiTheme="minorEastAsia" w:cs="Times New Roman" w:hint="eastAsia"/>
                <w:szCs w:val="24"/>
                <w:u w:val="single"/>
              </w:rPr>
              <w:t>年的人口金字塔</w:t>
            </w:r>
          </w:p>
          <w:p w14:paraId="0690EF65" w14:textId="77777777" w:rsidR="007063DC" w:rsidRDefault="007063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2020CD" wp14:editId="391B789E">
                  <wp:extent cx="5181391" cy="318516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7699" t="27324" r="15920" b="21986"/>
                          <a:stretch/>
                        </pic:blipFill>
                        <pic:spPr bwMode="auto">
                          <a:xfrm>
                            <a:off x="0" y="0"/>
                            <a:ext cx="5280314" cy="3245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BDEFE4" w14:textId="4A40A92C" w:rsidR="007063DC" w:rsidRPr="00CE1475" w:rsidRDefault="007063DC" w:rsidP="00CE1475">
            <w:pPr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95A6C">
              <w:rPr>
                <w:rFonts w:asciiTheme="minorEastAsia" w:hAnsiTheme="minorEastAsia" w:cs="Times New Roman" w:hint="eastAsia"/>
                <w:sz w:val="20"/>
                <w:szCs w:val="20"/>
              </w:rPr>
              <w:t>資料來源：〈</w:t>
            </w:r>
            <w:r w:rsidRPr="00B255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CE1475">
              <w:rPr>
                <w:rFonts w:asciiTheme="minorEastAsia" w:hAnsiTheme="minorEastAsia" w:cs="Times New Roman" w:hint="eastAsia"/>
                <w:sz w:val="20"/>
                <w:szCs w:val="20"/>
              </w:rPr>
              <w:t>年最新人口趨勢〉。政府統計處</w:t>
            </w:r>
            <w:r w:rsidRPr="007063DC">
              <w:rPr>
                <w:rFonts w:ascii="Times New Roman" w:hAnsi="Times New Roman" w:cs="Times New Roman"/>
                <w:sz w:val="20"/>
                <w:szCs w:val="20"/>
              </w:rPr>
              <w:t>https://www.census2021.gov.hk/doc/pub/21C_Articles_Demographic.pdf</w:t>
            </w:r>
          </w:p>
        </w:tc>
      </w:tr>
      <w:tr w:rsidR="007063DC" w14:paraId="4ACE0D3B" w14:textId="77777777" w:rsidTr="00B2557B">
        <w:trPr>
          <w:trHeight w:val="367"/>
        </w:trPr>
        <w:tc>
          <w:tcPr>
            <w:tcW w:w="8500" w:type="dxa"/>
          </w:tcPr>
          <w:p w14:paraId="52AA1F91" w14:textId="77777777" w:rsidR="000E32A6" w:rsidRDefault="000E32A6" w:rsidP="007063DC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14:paraId="3E189AE3" w14:textId="5F9D43D9" w:rsidR="000E32A6" w:rsidRPr="00CE1475" w:rsidRDefault="000E32A6" w:rsidP="00B95A6C">
            <w:pPr>
              <w:jc w:val="center"/>
              <w:rPr>
                <w:rFonts w:ascii="DengXian" w:eastAsia="新細明體" w:hAnsi="Times New Roman" w:cs="Times New Roman"/>
                <w:szCs w:val="24"/>
                <w:u w:val="single"/>
              </w:rPr>
            </w:pPr>
            <w:r w:rsidRPr="00CE1475">
              <w:rPr>
                <w:rFonts w:asciiTheme="minorEastAsia" w:hAnsiTheme="minorEastAsia" w:cs="Times New Roman" w:hint="eastAsia"/>
                <w:szCs w:val="24"/>
                <w:u w:val="single"/>
              </w:rPr>
              <w:t>香港</w:t>
            </w:r>
            <w:r w:rsidR="00842C8B" w:rsidRPr="00B95A6C">
              <w:rPr>
                <w:rFonts w:ascii="Times New Roman" w:hAnsi="Times New Roman" w:cs="Times New Roman" w:hint="eastAsia"/>
                <w:szCs w:val="24"/>
                <w:u w:val="single"/>
              </w:rPr>
              <w:t>人口</w:t>
            </w:r>
            <w:r w:rsidR="00842C8B" w:rsidRPr="00CE1475">
              <w:rPr>
                <w:rFonts w:ascii="DengXian" w:eastAsia="新細明體" w:hAnsi="Times New Roman" w:cs="Times New Roman" w:hint="eastAsia"/>
                <w:szCs w:val="24"/>
                <w:u w:val="single"/>
              </w:rPr>
              <w:t>推算</w:t>
            </w:r>
          </w:p>
          <w:tbl>
            <w:tblPr>
              <w:tblStyle w:val="a7"/>
              <w:tblW w:w="8069" w:type="dxa"/>
              <w:tblLook w:val="04A0" w:firstRow="1" w:lastRow="0" w:firstColumn="1" w:lastColumn="0" w:noHBand="0" w:noVBand="1"/>
            </w:tblPr>
            <w:tblGrid>
              <w:gridCol w:w="1588"/>
              <w:gridCol w:w="1296"/>
              <w:gridCol w:w="1296"/>
              <w:gridCol w:w="1296"/>
              <w:gridCol w:w="1296"/>
              <w:gridCol w:w="1297"/>
            </w:tblGrid>
            <w:tr w:rsidR="00CE1475" w:rsidRPr="00CE1475" w14:paraId="15F4F43D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69D7690E" w14:textId="4658AFF2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年份</w:t>
                  </w:r>
                </w:p>
              </w:tc>
              <w:tc>
                <w:tcPr>
                  <w:tcW w:w="1296" w:type="dxa"/>
                </w:tcPr>
                <w:p w14:paraId="405D2A0D" w14:textId="77777777" w:rsid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2019</w:t>
                  </w:r>
                </w:p>
                <w:p w14:paraId="374898CE" w14:textId="66B1718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(</w:t>
                  </w: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基準</w:t>
                  </w: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296" w:type="dxa"/>
                </w:tcPr>
                <w:p w14:paraId="771ADA6B" w14:textId="6AA70528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296" w:type="dxa"/>
                </w:tcPr>
                <w:p w14:paraId="5C3A34EE" w14:textId="44A6ACE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2029</w:t>
                  </w:r>
                </w:p>
              </w:tc>
              <w:tc>
                <w:tcPr>
                  <w:tcW w:w="1296" w:type="dxa"/>
                </w:tcPr>
                <w:p w14:paraId="400D6441" w14:textId="347C0A6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2034</w:t>
                  </w:r>
                </w:p>
              </w:tc>
              <w:tc>
                <w:tcPr>
                  <w:tcW w:w="1297" w:type="dxa"/>
                </w:tcPr>
                <w:p w14:paraId="5CCBEAA0" w14:textId="015CC0B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2039</w:t>
                  </w:r>
                </w:p>
              </w:tc>
            </w:tr>
            <w:tr w:rsidR="00CE1475" w:rsidRPr="00CE1475" w14:paraId="7BF32BF7" w14:textId="77777777" w:rsidTr="00B2557B">
              <w:trPr>
                <w:trHeight w:val="416"/>
              </w:trPr>
              <w:tc>
                <w:tcPr>
                  <w:tcW w:w="1588" w:type="dxa"/>
                </w:tcPr>
                <w:p w14:paraId="25807F1C" w14:textId="3B5C396F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人口</w:t>
                  </w:r>
                  <w:r w:rsidR="00BE147F" w:rsidRPr="00B2557B">
                    <w:rPr>
                      <w:rFonts w:asciiTheme="minorEastAsia" w:eastAsia="DengXian" w:hAnsiTheme="minorEastAsia" w:cs="Times New Roman" w:hint="eastAsia"/>
                    </w:rPr>
                    <w:t xml:space="preserve"> </w:t>
                  </w:r>
                  <w:r w:rsidR="00BE147F" w:rsidRPr="00B2557B">
                    <w:rPr>
                      <w:rFonts w:asciiTheme="minorEastAsia" w:hAnsiTheme="minorEastAsia" w:cs="Times New Roman" w:hint="eastAsia"/>
                    </w:rPr>
                    <w:t>(千人</w:t>
                  </w:r>
                  <w:r w:rsidR="00BE147F" w:rsidRPr="00B2557B">
                    <w:rPr>
                      <w:rFonts w:asciiTheme="minorEastAsia" w:hAnsiTheme="minorEastAsia" w:cs="Times New Roman"/>
                    </w:rPr>
                    <w:t>)</w:t>
                  </w:r>
                </w:p>
              </w:tc>
              <w:tc>
                <w:tcPr>
                  <w:tcW w:w="1296" w:type="dxa"/>
                </w:tcPr>
                <w:p w14:paraId="714A8227" w14:textId="749E21C0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7 507.4</w:t>
                  </w:r>
                </w:p>
              </w:tc>
              <w:tc>
                <w:tcPr>
                  <w:tcW w:w="1296" w:type="dxa"/>
                </w:tcPr>
                <w:p w14:paraId="527002A2" w14:textId="31A2E974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7 738.3</w:t>
                  </w:r>
                </w:p>
              </w:tc>
              <w:tc>
                <w:tcPr>
                  <w:tcW w:w="1296" w:type="dxa"/>
                </w:tcPr>
                <w:p w14:paraId="2E21F36B" w14:textId="0B6CCDAC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7 893.5</w:t>
                  </w:r>
                </w:p>
              </w:tc>
              <w:tc>
                <w:tcPr>
                  <w:tcW w:w="1296" w:type="dxa"/>
                </w:tcPr>
                <w:p w14:paraId="67841F4B" w14:textId="7E7A072E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8 024.1</w:t>
                  </w:r>
                </w:p>
              </w:tc>
              <w:tc>
                <w:tcPr>
                  <w:tcW w:w="1297" w:type="dxa"/>
                </w:tcPr>
                <w:p w14:paraId="52B16EC4" w14:textId="066C47F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8 097.4</w:t>
                  </w:r>
                </w:p>
              </w:tc>
            </w:tr>
            <w:tr w:rsidR="00BE147F" w:rsidRPr="00CE1475" w14:paraId="61D0ACE5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072C2918" w14:textId="1D6B5D2C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人口百分比</w:t>
                  </w: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3AEAAFF9" w14:textId="4D9924F8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586DA611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0188C660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772F0F70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7" w:type="dxa"/>
                  <w:shd w:val="clear" w:color="auto" w:fill="7F7F7F" w:themeFill="text1" w:themeFillTint="80"/>
                </w:tcPr>
                <w:p w14:paraId="63702F3A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</w:tr>
            <w:tr w:rsidR="00CE1475" w:rsidRPr="00CE1475" w14:paraId="17C2E2E5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306C837D" w14:textId="3291A481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="Times New Roman" w:hAnsi="Times New Roman" w:cs="Times New Roman"/>
                    </w:rPr>
                    <w:t xml:space="preserve">0 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至 </w:t>
                  </w:r>
                  <w:r w:rsidRPr="00B2557B">
                    <w:rPr>
                      <w:rFonts w:ascii="Times New Roman" w:hAnsi="Times New Roman" w:cs="Times New Roman"/>
                    </w:rPr>
                    <w:t>14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 歲</w:t>
                  </w:r>
                </w:p>
              </w:tc>
              <w:tc>
                <w:tcPr>
                  <w:tcW w:w="1296" w:type="dxa"/>
                </w:tcPr>
                <w:p w14:paraId="1D85AB74" w14:textId="3F5CCDA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12%</w:t>
                  </w:r>
                </w:p>
              </w:tc>
              <w:tc>
                <w:tcPr>
                  <w:tcW w:w="1296" w:type="dxa"/>
                </w:tcPr>
                <w:p w14:paraId="2C0F47F3" w14:textId="58BB9A00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11%</w:t>
                  </w:r>
                </w:p>
              </w:tc>
              <w:tc>
                <w:tcPr>
                  <w:tcW w:w="1296" w:type="dxa"/>
                </w:tcPr>
                <w:p w14:paraId="614801B4" w14:textId="4722D98F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10%</w:t>
                  </w:r>
                </w:p>
              </w:tc>
              <w:tc>
                <w:tcPr>
                  <w:tcW w:w="1296" w:type="dxa"/>
                </w:tcPr>
                <w:p w14:paraId="22763AB9" w14:textId="76F3C57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8%</w:t>
                  </w:r>
                </w:p>
              </w:tc>
              <w:tc>
                <w:tcPr>
                  <w:tcW w:w="1297" w:type="dxa"/>
                </w:tcPr>
                <w:p w14:paraId="2CB78700" w14:textId="76C65033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8%</w:t>
                  </w:r>
                </w:p>
              </w:tc>
            </w:tr>
            <w:tr w:rsidR="00CE1475" w:rsidRPr="00CE1475" w14:paraId="0F646D2D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0435A953" w14:textId="1472A49E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="Times New Roman" w:hAnsi="Times New Roman" w:cs="Times New Roman"/>
                    </w:rPr>
                    <w:t xml:space="preserve">15 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至 </w:t>
                  </w:r>
                  <w:r w:rsidRPr="00B2557B">
                    <w:rPr>
                      <w:rFonts w:ascii="Times New Roman" w:hAnsi="Times New Roman" w:cs="Times New Roman"/>
                    </w:rPr>
                    <w:t>64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 歲</w:t>
                  </w:r>
                </w:p>
              </w:tc>
              <w:tc>
                <w:tcPr>
                  <w:tcW w:w="1296" w:type="dxa"/>
                </w:tcPr>
                <w:p w14:paraId="2A872124" w14:textId="2DB1E3B9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71%</w:t>
                  </w:r>
                </w:p>
              </w:tc>
              <w:tc>
                <w:tcPr>
                  <w:tcW w:w="1296" w:type="dxa"/>
                </w:tcPr>
                <w:p w14:paraId="1D0F3387" w14:textId="320921C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67%</w:t>
                  </w:r>
                </w:p>
              </w:tc>
              <w:tc>
                <w:tcPr>
                  <w:tcW w:w="1296" w:type="dxa"/>
                </w:tcPr>
                <w:p w14:paraId="6B388686" w14:textId="39780BBC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64%</w:t>
                  </w:r>
                </w:p>
              </w:tc>
              <w:tc>
                <w:tcPr>
                  <w:tcW w:w="1296" w:type="dxa"/>
                </w:tcPr>
                <w:p w14:paraId="728DC3A1" w14:textId="73C044E0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63%</w:t>
                  </w:r>
                </w:p>
              </w:tc>
              <w:tc>
                <w:tcPr>
                  <w:tcW w:w="1297" w:type="dxa"/>
                </w:tcPr>
                <w:p w14:paraId="4396E88E" w14:textId="749725F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61%</w:t>
                  </w:r>
                </w:p>
              </w:tc>
            </w:tr>
            <w:tr w:rsidR="00CE1475" w:rsidRPr="00CE1475" w14:paraId="6DF86B9C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2F4E71F5" w14:textId="49DE62A5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="Times New Roman" w:hAnsi="Times New Roman" w:cs="Times New Roman"/>
                    </w:rPr>
                    <w:t>65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 歲及以上</w:t>
                  </w:r>
                </w:p>
              </w:tc>
              <w:tc>
                <w:tcPr>
                  <w:tcW w:w="1296" w:type="dxa"/>
                </w:tcPr>
                <w:p w14:paraId="1ABD05CE" w14:textId="48475CD3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18%</w:t>
                  </w:r>
                </w:p>
              </w:tc>
              <w:tc>
                <w:tcPr>
                  <w:tcW w:w="1296" w:type="dxa"/>
                </w:tcPr>
                <w:p w14:paraId="60947AFD" w14:textId="2E0CD58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22%</w:t>
                  </w:r>
                </w:p>
              </w:tc>
              <w:tc>
                <w:tcPr>
                  <w:tcW w:w="1296" w:type="dxa"/>
                </w:tcPr>
                <w:p w14:paraId="3B3F1CDE" w14:textId="10FCA4E3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26%</w:t>
                  </w:r>
                </w:p>
              </w:tc>
              <w:tc>
                <w:tcPr>
                  <w:tcW w:w="1296" w:type="dxa"/>
                </w:tcPr>
                <w:p w14:paraId="7F434C22" w14:textId="52C7312B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29%</w:t>
                  </w:r>
                </w:p>
              </w:tc>
              <w:tc>
                <w:tcPr>
                  <w:tcW w:w="1297" w:type="dxa"/>
                </w:tcPr>
                <w:p w14:paraId="53CCAC3C" w14:textId="047B519B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31%</w:t>
                  </w:r>
                </w:p>
              </w:tc>
            </w:tr>
            <w:tr w:rsidR="00BE147F" w:rsidRPr="00CE1475" w14:paraId="53067131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3128D0B7" w14:textId="5E127BA5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年齡中位數</w:t>
                  </w:r>
                </w:p>
              </w:tc>
              <w:tc>
                <w:tcPr>
                  <w:tcW w:w="1296" w:type="dxa"/>
                </w:tcPr>
                <w:p w14:paraId="05DBD3B3" w14:textId="5CAF3D5C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44.6</w:t>
                  </w:r>
                </w:p>
              </w:tc>
              <w:tc>
                <w:tcPr>
                  <w:tcW w:w="1296" w:type="dxa"/>
                </w:tcPr>
                <w:p w14:paraId="5D553DFC" w14:textId="0C781E49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46.1</w:t>
                  </w:r>
                </w:p>
              </w:tc>
              <w:tc>
                <w:tcPr>
                  <w:tcW w:w="1296" w:type="dxa"/>
                </w:tcPr>
                <w:p w14:paraId="2A37E316" w14:textId="5338A88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47.7</w:t>
                  </w:r>
                </w:p>
              </w:tc>
              <w:tc>
                <w:tcPr>
                  <w:tcW w:w="1296" w:type="dxa"/>
                </w:tcPr>
                <w:p w14:paraId="3D0F841B" w14:textId="04BAE8C9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49.1</w:t>
                  </w:r>
                </w:p>
              </w:tc>
              <w:tc>
                <w:tcPr>
                  <w:tcW w:w="1297" w:type="dxa"/>
                </w:tcPr>
                <w:p w14:paraId="174BD3BB" w14:textId="5345A54B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50.4</w:t>
                  </w:r>
                </w:p>
              </w:tc>
            </w:tr>
          </w:tbl>
          <w:p w14:paraId="09EFAD0A" w14:textId="685BAAFF" w:rsidR="000E32A6" w:rsidRPr="00CE1475" w:rsidRDefault="000E32A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資料來源：</w:t>
            </w:r>
            <w:r w:rsidR="009F240D" w:rsidRPr="00B2557B">
              <w:rPr>
                <w:rFonts w:ascii="Times New Roman" w:hAnsi="Times New Roman" w:cs="Times New Roman"/>
                <w:sz w:val="20"/>
                <w:szCs w:val="20"/>
              </w:rPr>
              <w:t>P.17</w:t>
            </w:r>
            <w:r w:rsidR="009F240D"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〈</w:t>
            </w:r>
            <w:r w:rsidR="009F240D" w:rsidRPr="000E32A6">
              <w:rPr>
                <w:rFonts w:asciiTheme="minorEastAsia" w:hAnsiTheme="minorEastAsia" w:cs="Times New Roman" w:hint="eastAsia"/>
                <w:sz w:val="20"/>
                <w:szCs w:val="20"/>
              </w:rPr>
              <w:t>香港人口推算</w:t>
            </w:r>
            <w:r w:rsidR="009F240D" w:rsidRPr="00B2557B">
              <w:rPr>
                <w:rFonts w:ascii="Times New Roman" w:hAnsi="Times New Roman" w:cs="Times New Roman"/>
                <w:sz w:val="20"/>
                <w:szCs w:val="20"/>
              </w:rPr>
              <w:t>2020-2069</w:t>
            </w:r>
            <w:r w:rsidR="009F240D"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〉</w:t>
            </w:r>
            <w:r w:rsidR="009F240D" w:rsidRPr="00CE1475">
              <w:rPr>
                <w:rFonts w:asciiTheme="minorEastAsia" w:eastAsia="新細明體" w:hAnsiTheme="minorEastAsia" w:cs="Times New Roman" w:hint="eastAsia"/>
                <w:sz w:val="20"/>
                <w:szCs w:val="20"/>
              </w:rPr>
              <w:t>。</w:t>
            </w:r>
            <w:r w:rsidR="009F240D"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政府統計處</w:t>
            </w:r>
            <w:r w:rsidR="009F240D" w:rsidRPr="00B2557B">
              <w:rPr>
                <w:rFonts w:ascii="Times New Roman" w:hAnsi="Times New Roman" w:cs="Times New Roman"/>
                <w:sz w:val="20"/>
                <w:szCs w:val="20"/>
              </w:rPr>
              <w:t>https://www.censtatd.gov.hk/en/data/stat_report/product/B1120015/att/B1120015082020XXXXB0100.pdf</w:t>
            </w:r>
          </w:p>
        </w:tc>
      </w:tr>
    </w:tbl>
    <w:p w14:paraId="2DB50E3A" w14:textId="24F9C502" w:rsidR="007063DC" w:rsidRDefault="007063DC">
      <w:pPr>
        <w:rPr>
          <w:rFonts w:ascii="Times New Roman" w:hAnsi="Times New Roman" w:cs="Times New Roman"/>
          <w:szCs w:val="24"/>
        </w:rPr>
      </w:pPr>
    </w:p>
    <w:p w14:paraId="548BA230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33915CCB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06F324A0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6E4F0CF7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75AB6E39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548E9A04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6D6201ED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5566F84A" w14:textId="7F636B40" w:rsidR="00D42899" w:rsidRPr="00E831BD" w:rsidRDefault="00D42899" w:rsidP="00CE1475">
      <w:pPr>
        <w:adjustRightInd w:val="0"/>
        <w:snapToGrid w:val="0"/>
        <w:rPr>
          <w:rFonts w:ascii="Times New Roman" w:eastAsia="DengXian" w:hAnsi="Times New Roman" w:cs="Times New Roman"/>
        </w:rPr>
      </w:pPr>
    </w:p>
    <w:p w14:paraId="408FB5F5" w14:textId="76B9CB69" w:rsidR="00FB18F3" w:rsidRPr="00E831BD" w:rsidRDefault="00FB18F3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資料四：</w:t>
      </w:r>
      <w:r w:rsidR="00A23496">
        <w:rPr>
          <w:rFonts w:ascii="Times New Roman" w:hAnsi="Times New Roman" w:cs="Times New Roman"/>
        </w:rPr>
        <w:t>特區</w:t>
      </w:r>
      <w:r w:rsidR="00FE32D7" w:rsidRPr="00E831BD">
        <w:rPr>
          <w:rFonts w:ascii="Times New Roman" w:hAnsi="Times New Roman" w:cs="Times New Roman"/>
        </w:rPr>
        <w:t>政府</w:t>
      </w:r>
      <w:r w:rsidR="00A23496">
        <w:rPr>
          <w:rFonts w:ascii="Times New Roman" w:hAnsi="Times New Roman" w:cs="Times New Roman"/>
        </w:rPr>
        <w:t>投放於長者服務的財政開支</w:t>
      </w:r>
    </w:p>
    <w:p w14:paraId="6444610D" w14:textId="77777777" w:rsidR="00213116" w:rsidRPr="00E831BD" w:rsidRDefault="00FE32D7" w:rsidP="00213116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F2EA6" wp14:editId="789DBFFD">
                <wp:simplePos x="0" y="0"/>
                <wp:positionH relativeFrom="margin">
                  <wp:align>left</wp:align>
                </wp:positionH>
                <wp:positionV relativeFrom="paragraph">
                  <wp:posOffset>105064</wp:posOffset>
                </wp:positionV>
                <wp:extent cx="5479473" cy="2563091"/>
                <wp:effectExtent l="0" t="0" r="2603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473" cy="2563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969E6" w14:textId="5740385A" w:rsidR="00FE32D7" w:rsidRPr="00A23496" w:rsidRDefault="00FE32D7" w:rsidP="007D778C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根據政府統計處的人口推算，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65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歲及以上長者佔整體人口比例將由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2022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年中的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20.8%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，逐步上升至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2028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年的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25.3%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2069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年更上升至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35.1%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  <w:p w14:paraId="7D007664" w14:textId="77777777" w:rsidR="00FE32D7" w:rsidRPr="00A23496" w:rsidRDefault="00FE32D7" w:rsidP="00FE32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CAD25E" w14:textId="77777777" w:rsidR="00FE32D7" w:rsidRPr="00A23496" w:rsidRDefault="00FE32D7" w:rsidP="007D778C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長者人數持續上升會增加對各項安老及醫療服務的需求。政府會繼續質量並重，改善安老服務，貫徹「居家安老為本，院舍照顧為後援」的政策方針，致力為有需要的長者提供多元化服務。政府也會透過推廣基層醫療及改善公營醫院服務等措施，應對</w:t>
                            </w:r>
                            <w:r w:rsidR="00C46E37" w:rsidRPr="00A23496">
                              <w:rPr>
                                <w:rFonts w:ascii="Times New Roman" w:hAnsi="Times New Roman" w:cs="Times New Roman"/>
                              </w:rPr>
                              <w:t>長者人數持續上升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及慢性疾病越趨普及所帶來的挑戰。上述各項措施有助政府為長者提供更適切的醫療、照顧以至支援服務，長遠希望為長者締造一個康健樂頤年的環境。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2023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2024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年度政府投放於長者的預算經常開支達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1,231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億元，較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2017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2018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年度的約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710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億元大幅增加超過七成，足見政府對長者的承擔。</w:t>
                            </w:r>
                          </w:p>
                          <w:p w14:paraId="56986E02" w14:textId="77777777" w:rsidR="00A23496" w:rsidRDefault="00A23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2EA6" id="Text Box 6" o:spid="_x0000_s1027" type="#_x0000_t202" style="position:absolute;margin-left:0;margin-top:8.25pt;width:431.45pt;height:201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" fillcolor="white [3201]" strokeweight=".5pt">
                <v:textbox>
                  <w:txbxContent>
                    <w:p w14:paraId="2F1969E6" w14:textId="5740385A" w:rsidR="00FE32D7" w:rsidRPr="00A23496" w:rsidRDefault="00FE32D7" w:rsidP="007D778C">
                      <w:pPr>
                        <w:ind w:firstLineChars="200" w:firstLine="4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3496">
                        <w:rPr>
                          <w:rFonts w:ascii="Times New Roman" w:hAnsi="Times New Roman" w:cs="Times New Roman"/>
                        </w:rPr>
                        <w:t>根據政府統計處的人口推算，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65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歲及以上長者</w:t>
                      </w:r>
                      <w:proofErr w:type="gramStart"/>
                      <w:r w:rsidRPr="00A23496">
                        <w:rPr>
                          <w:rFonts w:ascii="Times New Roman" w:hAnsi="Times New Roman" w:cs="Times New Roman"/>
                        </w:rPr>
                        <w:t>佔</w:t>
                      </w:r>
                      <w:proofErr w:type="gramEnd"/>
                      <w:r w:rsidRPr="00A23496">
                        <w:rPr>
                          <w:rFonts w:ascii="Times New Roman" w:hAnsi="Times New Roman" w:cs="Times New Roman"/>
                        </w:rPr>
                        <w:t>整體人口比例將由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2022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年中的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20.8%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，逐步上升至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2028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年的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25.3%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2069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年更上升至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35.1%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  <w:p w14:paraId="7D007664" w14:textId="77777777" w:rsidR="00FE32D7" w:rsidRPr="00A23496" w:rsidRDefault="00FE32D7" w:rsidP="00FE32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5CAD25E" w14:textId="77777777" w:rsidR="00FE32D7" w:rsidRPr="00A23496" w:rsidRDefault="00FE32D7" w:rsidP="007D778C">
                      <w:pPr>
                        <w:ind w:firstLineChars="200" w:firstLine="4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3496">
                        <w:rPr>
                          <w:rFonts w:ascii="Times New Roman" w:hAnsi="Times New Roman" w:cs="Times New Roman"/>
                        </w:rPr>
                        <w:t>長者人數持續上升會增加對各項安老及醫療服務的需求。政府會繼續質量並重，改善安老服務，貫徹「居家安老為本，院舍照顧為後援」的政策方針，致力為有需要的長者提供多元化服務。政府也會透過推廣基層醫療及改善公營醫院服務等措施，應對</w:t>
                      </w:r>
                      <w:r w:rsidR="00C46E37" w:rsidRPr="00A23496">
                        <w:rPr>
                          <w:rFonts w:ascii="Times New Roman" w:hAnsi="Times New Roman" w:cs="Times New Roman"/>
                        </w:rPr>
                        <w:t>長者人數持續上升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及慢性疾病越趨普及所帶來的挑戰。上述各項</w:t>
                      </w:r>
                      <w:proofErr w:type="gramStart"/>
                      <w:r w:rsidRPr="00A23496">
                        <w:rPr>
                          <w:rFonts w:ascii="Times New Roman" w:hAnsi="Times New Roman" w:cs="Times New Roman"/>
                        </w:rPr>
                        <w:t>措</w:t>
                      </w:r>
                      <w:proofErr w:type="gramEnd"/>
                      <w:r w:rsidRPr="00A23496">
                        <w:rPr>
                          <w:rFonts w:ascii="Times New Roman" w:hAnsi="Times New Roman" w:cs="Times New Roman"/>
                        </w:rPr>
                        <w:t>施有助政府為長者提供更適切的醫療、照顧以至支援服務，長遠希望為長者締造一個康健樂頤年的環境。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2023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2024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年度政府投放於長者的預算經常開支達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1,231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億元，較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2017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2018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年度的約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710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億元大幅增加超過七成，足見政府對長者的承擔。</w:t>
                      </w:r>
                    </w:p>
                    <w:p w14:paraId="56986E02" w14:textId="77777777" w:rsidR="00A23496" w:rsidRDefault="00A23496"/>
                  </w:txbxContent>
                </v:textbox>
                <w10:wrap anchorx="margin"/>
              </v:shape>
            </w:pict>
          </mc:Fallback>
        </mc:AlternateContent>
      </w:r>
    </w:p>
    <w:p w14:paraId="2E4C22E4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9E33F46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5DFF2DFB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2193CFF3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E9D67FB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7AAE5B2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23AAB84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0FD2B63B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21A5AFA8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6C5078AD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66326AF9" w14:textId="77777777" w:rsidR="00FE32D7" w:rsidRPr="00E831BD" w:rsidRDefault="00FE32D7" w:rsidP="00BF6F82">
      <w:pPr>
        <w:rPr>
          <w:rFonts w:ascii="Times New Roman" w:hAnsi="Times New Roman" w:cs="Times New Roman"/>
        </w:rPr>
      </w:pPr>
    </w:p>
    <w:p w14:paraId="6B4D71D6" w14:textId="35EB6CEB" w:rsidR="00BF6F82" w:rsidRPr="00CE1475" w:rsidRDefault="00BF6F82" w:rsidP="00BF6F82">
      <w:pPr>
        <w:rPr>
          <w:rFonts w:ascii="Times New Roman" w:hAnsi="Times New Roman" w:cs="Times New Roman"/>
          <w:sz w:val="20"/>
          <w:szCs w:val="20"/>
        </w:rPr>
      </w:pPr>
      <w:r w:rsidRPr="00CE1475">
        <w:rPr>
          <w:rFonts w:asciiTheme="minorEastAsia" w:hAnsiTheme="minorEastAsia" w:cs="Times New Roman"/>
          <w:sz w:val="20"/>
          <w:szCs w:val="20"/>
        </w:rPr>
        <w:t>資料來源：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節錄自〈立法會六題：應對人口老化的措施〉，</w:t>
      </w:r>
      <w:r w:rsidR="00D42899" w:rsidRPr="00B2557B">
        <w:rPr>
          <w:rFonts w:ascii="Times New Roman" w:hAnsi="Times New Roman" w:cs="Times New Roman"/>
          <w:sz w:val="20"/>
          <w:szCs w:val="20"/>
        </w:rPr>
        <w:t>2023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年</w:t>
      </w:r>
      <w:r w:rsidR="00D42899" w:rsidRPr="00B2557B">
        <w:rPr>
          <w:rFonts w:ascii="Times New Roman" w:hAnsi="Times New Roman" w:cs="Times New Roman"/>
          <w:sz w:val="20"/>
          <w:szCs w:val="20"/>
        </w:rPr>
        <w:t>3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月</w:t>
      </w:r>
      <w:r w:rsidR="00D42899" w:rsidRPr="00B2557B">
        <w:rPr>
          <w:rFonts w:ascii="Times New Roman" w:hAnsi="Times New Roman" w:cs="Times New Roman"/>
          <w:sz w:val="20"/>
          <w:szCs w:val="20"/>
        </w:rPr>
        <w:t>22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日。政府新聞公報</w:t>
      </w:r>
      <w:r w:rsidR="00D42899" w:rsidRPr="00CE1475">
        <w:rPr>
          <w:rFonts w:ascii="Times New Roman" w:hAnsi="Times New Roman" w:cs="Times New Roman"/>
          <w:sz w:val="20"/>
          <w:szCs w:val="20"/>
        </w:rPr>
        <w:t>https://www.info.gov.hk/gia/general/202303/22/P2023032200175.htm</w:t>
      </w:r>
    </w:p>
    <w:p w14:paraId="15150D90" w14:textId="6451F913" w:rsidR="00433257" w:rsidRDefault="00433257">
      <w:pPr>
        <w:rPr>
          <w:rFonts w:ascii="Times New Roman" w:hAnsi="Times New Roman" w:cs="Times New Roman"/>
        </w:rPr>
      </w:pPr>
    </w:p>
    <w:p w14:paraId="37CD32E8" w14:textId="4071D69A" w:rsidR="00FB5859" w:rsidRDefault="00FB5859">
      <w:pPr>
        <w:rPr>
          <w:rFonts w:ascii="Times New Roman" w:hAnsi="Times New Roman" w:cs="Times New Roman"/>
        </w:rPr>
      </w:pPr>
    </w:p>
    <w:p w14:paraId="6A42B2E6" w14:textId="078F1043" w:rsidR="00FB5859" w:rsidRDefault="00FB5859">
      <w:pPr>
        <w:rPr>
          <w:rFonts w:ascii="Times New Roman" w:hAnsi="Times New Roman" w:cs="Times New Roman"/>
        </w:rPr>
      </w:pPr>
    </w:p>
    <w:p w14:paraId="166F7E75" w14:textId="435F665F" w:rsidR="00FB5859" w:rsidRDefault="00FB5859">
      <w:pPr>
        <w:rPr>
          <w:rFonts w:ascii="Times New Roman" w:hAnsi="Times New Roman" w:cs="Times New Roman"/>
        </w:rPr>
      </w:pPr>
    </w:p>
    <w:p w14:paraId="3DE70FF8" w14:textId="01A362F7" w:rsidR="00FB5859" w:rsidRDefault="00FB5859">
      <w:pPr>
        <w:rPr>
          <w:rFonts w:ascii="Times New Roman" w:hAnsi="Times New Roman" w:cs="Times New Roman"/>
        </w:rPr>
      </w:pPr>
    </w:p>
    <w:p w14:paraId="7418472A" w14:textId="05C86517" w:rsidR="00FB5859" w:rsidRDefault="00FB5859">
      <w:pPr>
        <w:rPr>
          <w:rFonts w:ascii="Times New Roman" w:hAnsi="Times New Roman" w:cs="Times New Roman"/>
        </w:rPr>
      </w:pPr>
    </w:p>
    <w:p w14:paraId="73DAE298" w14:textId="36308B24" w:rsidR="00FB5859" w:rsidRDefault="00FB5859">
      <w:pPr>
        <w:rPr>
          <w:rFonts w:ascii="Times New Roman" w:hAnsi="Times New Roman" w:cs="Times New Roman"/>
        </w:rPr>
      </w:pPr>
    </w:p>
    <w:p w14:paraId="7F56C2A2" w14:textId="3CB7D18C" w:rsidR="00FB5859" w:rsidRDefault="00FB5859">
      <w:pPr>
        <w:rPr>
          <w:rFonts w:ascii="Times New Roman" w:hAnsi="Times New Roman" w:cs="Times New Roman"/>
        </w:rPr>
      </w:pPr>
    </w:p>
    <w:p w14:paraId="72EECC09" w14:textId="2D432D07" w:rsidR="00FB5859" w:rsidRDefault="00FB5859">
      <w:pPr>
        <w:rPr>
          <w:rFonts w:ascii="Times New Roman" w:hAnsi="Times New Roman" w:cs="Times New Roman"/>
        </w:rPr>
      </w:pPr>
    </w:p>
    <w:p w14:paraId="05233100" w14:textId="18344E7A" w:rsidR="00FB5859" w:rsidRDefault="00FB5859">
      <w:pPr>
        <w:rPr>
          <w:rFonts w:ascii="Times New Roman" w:hAnsi="Times New Roman" w:cs="Times New Roman"/>
        </w:rPr>
      </w:pPr>
    </w:p>
    <w:p w14:paraId="29B36A39" w14:textId="7BF05B1E" w:rsidR="00FB5859" w:rsidRDefault="00FB5859">
      <w:pPr>
        <w:rPr>
          <w:rFonts w:ascii="Times New Roman" w:hAnsi="Times New Roman" w:cs="Times New Roman"/>
        </w:rPr>
      </w:pPr>
    </w:p>
    <w:p w14:paraId="4EE48B2E" w14:textId="30D69D54" w:rsidR="00FB5859" w:rsidRDefault="00FB5859">
      <w:pPr>
        <w:rPr>
          <w:rFonts w:ascii="Times New Roman" w:hAnsi="Times New Roman" w:cs="Times New Roman"/>
        </w:rPr>
      </w:pPr>
    </w:p>
    <w:p w14:paraId="345E5BAF" w14:textId="008A4333" w:rsidR="00FB5859" w:rsidRDefault="00FB5859">
      <w:pPr>
        <w:rPr>
          <w:rFonts w:ascii="Times New Roman" w:hAnsi="Times New Roman" w:cs="Times New Roman"/>
        </w:rPr>
      </w:pPr>
    </w:p>
    <w:p w14:paraId="5340B4D9" w14:textId="41AB8C9C" w:rsidR="00FB5859" w:rsidRDefault="00FB5859">
      <w:pPr>
        <w:rPr>
          <w:rFonts w:ascii="Times New Roman" w:hAnsi="Times New Roman" w:cs="Times New Roman"/>
        </w:rPr>
      </w:pPr>
    </w:p>
    <w:p w14:paraId="6D3E221F" w14:textId="7BF63C76" w:rsidR="00FB5859" w:rsidRDefault="00FB5859">
      <w:pPr>
        <w:rPr>
          <w:rFonts w:ascii="Times New Roman" w:hAnsi="Times New Roman" w:cs="Times New Roman"/>
        </w:rPr>
      </w:pPr>
    </w:p>
    <w:p w14:paraId="307A6F4F" w14:textId="28CBFD0A" w:rsidR="00FB5859" w:rsidRDefault="00FB5859">
      <w:pPr>
        <w:rPr>
          <w:rFonts w:ascii="Times New Roman" w:hAnsi="Times New Roman" w:cs="Times New Roman"/>
        </w:rPr>
      </w:pPr>
    </w:p>
    <w:p w14:paraId="34B73D9A" w14:textId="2E5201EA" w:rsidR="00FB5859" w:rsidRDefault="00FB5859">
      <w:pPr>
        <w:rPr>
          <w:rFonts w:ascii="Times New Roman" w:hAnsi="Times New Roman" w:cs="Times New Roman"/>
        </w:rPr>
      </w:pPr>
    </w:p>
    <w:p w14:paraId="1B203DCF" w14:textId="0E76B849" w:rsidR="00FB5859" w:rsidRDefault="00FB5859">
      <w:pPr>
        <w:rPr>
          <w:rFonts w:ascii="Times New Roman" w:hAnsi="Times New Roman" w:cs="Times New Roman"/>
        </w:rPr>
      </w:pPr>
    </w:p>
    <w:p w14:paraId="7B888BA7" w14:textId="0D620123" w:rsidR="00FB5859" w:rsidRDefault="00FB5859">
      <w:pPr>
        <w:rPr>
          <w:rFonts w:ascii="Times New Roman" w:hAnsi="Times New Roman" w:cs="Times New Roman"/>
        </w:rPr>
      </w:pPr>
    </w:p>
    <w:p w14:paraId="03D2484D" w14:textId="7A2A857E" w:rsidR="00FB5859" w:rsidRDefault="00FB5859">
      <w:pPr>
        <w:rPr>
          <w:rFonts w:ascii="Times New Roman" w:hAnsi="Times New Roman" w:cs="Times New Roman"/>
        </w:rPr>
      </w:pPr>
    </w:p>
    <w:p w14:paraId="4C5020FE" w14:textId="1CFF43EB" w:rsidR="00FB5859" w:rsidRDefault="00FB5859">
      <w:pPr>
        <w:rPr>
          <w:rFonts w:ascii="Times New Roman" w:hAnsi="Times New Roman" w:cs="Times New Roman"/>
        </w:rPr>
      </w:pPr>
    </w:p>
    <w:p w14:paraId="6323DF57" w14:textId="77777777" w:rsidR="0012798E" w:rsidRDefault="0012798E" w:rsidP="0012798E">
      <w:pPr>
        <w:rPr>
          <w:rFonts w:ascii="Times New Roman" w:hAnsi="Times New Roman" w:cs="Times New Roman"/>
        </w:rPr>
      </w:pPr>
    </w:p>
    <w:p w14:paraId="6DC1A9C0" w14:textId="779D2867" w:rsidR="0012798E" w:rsidRPr="000C273C" w:rsidRDefault="0012798E" w:rsidP="0012798E">
      <w:pPr>
        <w:rPr>
          <w:rFonts w:ascii="Times New Roman" w:eastAsia="新細明體" w:hAnsi="Times New Roman" w:cs="Times New Roman"/>
          <w:b/>
          <w:u w:val="thick"/>
          <w:lang w:eastAsia="zh-HK"/>
        </w:rPr>
      </w:pPr>
      <w:r w:rsidRPr="000C273C">
        <w:rPr>
          <w:rFonts w:ascii="Times New Roman" w:eastAsia="新細明體" w:hAnsi="Times New Roman" w:cs="Times New Roman" w:hint="eastAsia"/>
          <w:b/>
          <w:u w:val="thick"/>
          <w:lang w:eastAsia="zh-HK"/>
        </w:rPr>
        <w:lastRenderedPageBreak/>
        <w:t>自學題目</w:t>
      </w:r>
    </w:p>
    <w:p w14:paraId="6640A418" w14:textId="77777777" w:rsidR="00FB5859" w:rsidRPr="00FB5859" w:rsidRDefault="00FB5859">
      <w:pPr>
        <w:rPr>
          <w:rFonts w:ascii="Times New Roman" w:hAnsi="Times New Roman" w:cs="Times New Roman"/>
        </w:rPr>
      </w:pPr>
    </w:p>
    <w:p w14:paraId="6A37DBA5" w14:textId="3E95FC9C" w:rsidR="00A87658" w:rsidRPr="00A5299A" w:rsidRDefault="003101BA" w:rsidP="00155687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除</w:t>
      </w:r>
      <w:r w:rsidRPr="00A5299A">
        <w:rPr>
          <w:rFonts w:ascii="Times New Roman" w:hAnsi="Times New Roman" w:cs="Times New Roman" w:hint="eastAsia"/>
        </w:rPr>
        <w:t>資料一</w:t>
      </w:r>
      <w:r w:rsidR="00155687" w:rsidRPr="00155687">
        <w:rPr>
          <w:rFonts w:ascii="Times New Roman" w:hAnsi="Times New Roman" w:cs="Times New Roman" w:hint="eastAsia"/>
        </w:rPr>
        <w:t>所引用的</w:t>
      </w:r>
      <w:r w:rsidRPr="00A5299A">
        <w:rPr>
          <w:rFonts w:ascii="Times New Roman" w:hAnsi="Times New Roman" w:cs="Times New Roman" w:hint="eastAsia"/>
        </w:rPr>
        <w:t>財政預算案網站</w:t>
      </w:r>
      <w:r w:rsidRPr="003101BA">
        <w:rPr>
          <w:rFonts w:ascii="DengXian" w:eastAsia="新細明體" w:hAnsi="DengXian" w:cs="Times New Roman" w:hint="eastAsia"/>
        </w:rPr>
        <w:t>外</w:t>
      </w:r>
      <w:r w:rsidR="00DE2F84">
        <w:rPr>
          <w:rFonts w:ascii="Times New Roman" w:hAnsi="Times New Roman" w:cs="Times New Roman" w:hint="eastAsia"/>
        </w:rPr>
        <w:t>，</w:t>
      </w:r>
      <w:r w:rsidR="00DE2F84" w:rsidRPr="00DE2F84">
        <w:rPr>
          <w:rFonts w:ascii="Times New Roman" w:hAnsi="Times New Roman" w:cs="Times New Roman" w:hint="eastAsia"/>
        </w:rPr>
        <w:t>建議</w:t>
      </w:r>
      <w:r w:rsidR="00A5299A" w:rsidRPr="00A5299A">
        <w:rPr>
          <w:rFonts w:ascii="Times New Roman" w:hAnsi="Times New Roman" w:cs="Times New Roman" w:hint="eastAsia"/>
        </w:rPr>
        <w:t>一個</w:t>
      </w:r>
      <w:r w:rsidR="000D2826" w:rsidRPr="000D2826">
        <w:rPr>
          <w:rFonts w:ascii="Times New Roman" w:hAnsi="Times New Roman" w:cs="Times New Roman" w:hint="eastAsia"/>
        </w:rPr>
        <w:t>搜集</w:t>
      </w:r>
      <w:r w:rsidR="000F4BDE">
        <w:rPr>
          <w:rFonts w:ascii="Times New Roman" w:hAnsi="Times New Roman" w:cs="Times New Roman" w:hint="eastAsia"/>
        </w:rPr>
        <w:t>政府</w:t>
      </w:r>
      <w:r w:rsidRPr="003101BA">
        <w:rPr>
          <w:rFonts w:ascii="Times New Roman" w:hAnsi="Times New Roman" w:cs="Times New Roman" w:hint="eastAsia"/>
        </w:rPr>
        <w:t>財政</w:t>
      </w:r>
      <w:r w:rsidR="000F4BDE">
        <w:rPr>
          <w:rFonts w:ascii="Times New Roman" w:hAnsi="Times New Roman" w:cs="Times New Roman" w:hint="eastAsia"/>
        </w:rPr>
        <w:t>資料的</w:t>
      </w:r>
      <w:r w:rsidR="000D2826" w:rsidRPr="000D6BDC">
        <w:rPr>
          <w:rFonts w:ascii="Times New Roman" w:hAnsi="Times New Roman" w:cs="Times New Roman" w:hint="eastAsia"/>
        </w:rPr>
        <w:t>網站或</w:t>
      </w:r>
      <w:r w:rsidR="008A0862" w:rsidRPr="008A0862">
        <w:rPr>
          <w:rFonts w:ascii="Times New Roman" w:hAnsi="Times New Roman" w:cs="Times New Roman" w:hint="eastAsia"/>
        </w:rPr>
        <w:t>方法</w:t>
      </w:r>
      <w:r w:rsidR="00A5299A">
        <w:rPr>
          <w:rFonts w:asciiTheme="minorEastAsia" w:hAnsiTheme="minorEastAsia" w:cs="Times New Roman" w:hint="eastAsia"/>
        </w:rPr>
        <w:t>。</w:t>
      </w:r>
    </w:p>
    <w:p w14:paraId="348EC6AD" w14:textId="1E72BB52" w:rsidR="00A5299A" w:rsidRDefault="004D5471" w:rsidP="00A52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91D74" wp14:editId="44FBF55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501640" cy="14859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1485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6F197" w14:textId="51EB1815" w:rsidR="001F1C7E" w:rsidRPr="001F1C7E" w:rsidRDefault="001F1C7E" w:rsidP="00F72967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 w:rsidRPr="001F1C7E">
                              <w:rPr>
                                <w:rFonts w:hint="eastAsia"/>
                                <w:color w:val="FF0000"/>
                              </w:rPr>
                              <w:t>政府統計處網站：</w:t>
                            </w:r>
                            <w:r w:rsidR="00F72967" w:rsidRPr="00F7296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https://www.censtatd.gov.hk/tc/</w:t>
                            </w:r>
                          </w:p>
                          <w:p w14:paraId="31415598" w14:textId="024DA1EA" w:rsidR="001F1C7E" w:rsidRPr="000D6BDC" w:rsidRDefault="001F1C7E" w:rsidP="001F1C7E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 w:rsidRPr="001F1C7E">
                              <w:rPr>
                                <w:rFonts w:hint="eastAsia"/>
                                <w:color w:val="FF0000"/>
                              </w:rPr>
                              <w:t>香港金融管理局網站：</w:t>
                            </w:r>
                            <w:r w:rsidR="000D6BDC" w:rsidRPr="000D6BD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https://www.hkma.gov.hk/chi/data-publications-and-research/data-and-statistics/economic-financial-data-for-hong-kong/</w:t>
                            </w:r>
                          </w:p>
                          <w:p w14:paraId="0472D7AD" w14:textId="62D28ED2" w:rsidR="000D6BDC" w:rsidRPr="001F1C7E" w:rsidRDefault="000D6BDC" w:rsidP="000D6BDC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 w:rsidRPr="000D6BDC">
                              <w:rPr>
                                <w:rFonts w:hint="eastAsia"/>
                                <w:color w:val="FF0000"/>
                              </w:rPr>
                              <w:t>購買或借閱香港年報，翻查該年的經濟資料及數據。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1D74" id="Rectangle 10" o:spid="_x0000_s1028" style="position:absolute;margin-left:0;margin-top:6.6pt;width:433.2pt;height:11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" fillcolor="white [3201]" strokecolor="black [3200]">
                <v:textbox>
                  <w:txbxContent>
                    <w:p w14:paraId="6016F197" w14:textId="51EB1815" w:rsidR="001F1C7E" w:rsidRPr="001F1C7E" w:rsidRDefault="001F1C7E" w:rsidP="00F729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FF0000"/>
                        </w:rPr>
                      </w:pPr>
                      <w:r w:rsidRPr="001F1C7E">
                        <w:rPr>
                          <w:rFonts w:hint="eastAsia"/>
                          <w:color w:val="FF0000"/>
                        </w:rPr>
                        <w:t>政府統計處網站：</w:t>
                      </w:r>
                      <w:r w:rsidR="00F72967" w:rsidRPr="00F72967">
                        <w:rPr>
                          <w:rFonts w:ascii="Times New Roman" w:hAnsi="Times New Roman" w:cs="Times New Roman"/>
                          <w:color w:val="FF0000"/>
                        </w:rPr>
                        <w:t>https://www.censtatd.gov.hk/tc/</w:t>
                      </w:r>
                    </w:p>
                    <w:p w14:paraId="31415598" w14:textId="024DA1EA" w:rsidR="001F1C7E" w:rsidRPr="000D6BDC" w:rsidRDefault="001F1C7E" w:rsidP="001F1C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FF0000"/>
                        </w:rPr>
                      </w:pPr>
                      <w:r w:rsidRPr="001F1C7E">
                        <w:rPr>
                          <w:rFonts w:hint="eastAsia"/>
                          <w:color w:val="FF0000"/>
                        </w:rPr>
                        <w:t>香港金融管理局網站：</w:t>
                      </w:r>
                      <w:r w:rsidR="000D6BDC" w:rsidRPr="000D6BDC">
                        <w:rPr>
                          <w:rFonts w:ascii="Times New Roman" w:hAnsi="Times New Roman" w:cs="Times New Roman"/>
                          <w:color w:val="FF0000"/>
                        </w:rPr>
                        <w:t>https://www.hkma.gov.hk/chi/data-publications-and-research/data-and-statistics/economic-financial-data-for-hong-kong/</w:t>
                      </w:r>
                    </w:p>
                    <w:p w14:paraId="0472D7AD" w14:textId="62D28ED2" w:rsidR="000D6BDC" w:rsidRPr="001F1C7E" w:rsidRDefault="000D6BDC" w:rsidP="000D6BD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FF0000"/>
                        </w:rPr>
                      </w:pPr>
                      <w:r w:rsidRPr="000D6BDC">
                        <w:rPr>
                          <w:rFonts w:hint="eastAsia"/>
                          <w:color w:val="FF0000"/>
                        </w:rPr>
                        <w:t>購買或借閱香港年報，翻查該年的經濟資料及數據。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CCC025" w14:textId="03599340" w:rsidR="00A5299A" w:rsidRDefault="00A5299A" w:rsidP="00A5299A">
      <w:pPr>
        <w:rPr>
          <w:rFonts w:ascii="Times New Roman" w:hAnsi="Times New Roman" w:cs="Times New Roman"/>
        </w:rPr>
      </w:pPr>
    </w:p>
    <w:p w14:paraId="30FD8F3B" w14:textId="520823A3" w:rsidR="00A5299A" w:rsidRDefault="00A5299A" w:rsidP="00A5299A">
      <w:pPr>
        <w:rPr>
          <w:rFonts w:ascii="Times New Roman" w:hAnsi="Times New Roman" w:cs="Times New Roman"/>
        </w:rPr>
      </w:pPr>
    </w:p>
    <w:p w14:paraId="2585AA1A" w14:textId="601E2629" w:rsidR="00A5299A" w:rsidRPr="00A5299A" w:rsidRDefault="00A5299A" w:rsidP="00A5299A">
      <w:pPr>
        <w:rPr>
          <w:rFonts w:ascii="Times New Roman" w:hAnsi="Times New Roman" w:cs="Times New Roman"/>
        </w:rPr>
      </w:pPr>
    </w:p>
    <w:p w14:paraId="7C81D655" w14:textId="71909AD3" w:rsidR="00A87658" w:rsidRDefault="00A87658" w:rsidP="00A87658">
      <w:pPr>
        <w:rPr>
          <w:rFonts w:ascii="Times New Roman" w:hAnsi="Times New Roman" w:cs="Times New Roman"/>
        </w:rPr>
      </w:pPr>
    </w:p>
    <w:p w14:paraId="539085FD" w14:textId="6E81B615" w:rsidR="000F4BDE" w:rsidRDefault="000F4BDE" w:rsidP="00A87658">
      <w:pPr>
        <w:rPr>
          <w:rFonts w:ascii="Times New Roman" w:hAnsi="Times New Roman" w:cs="Times New Roman"/>
        </w:rPr>
      </w:pPr>
    </w:p>
    <w:p w14:paraId="01333680" w14:textId="7AB9F172" w:rsidR="001F1C7E" w:rsidRDefault="001F1C7E" w:rsidP="00A87658">
      <w:pPr>
        <w:rPr>
          <w:rFonts w:ascii="Times New Roman" w:hAnsi="Times New Roman" w:cs="Times New Roman"/>
        </w:rPr>
      </w:pPr>
    </w:p>
    <w:p w14:paraId="4A709F05" w14:textId="77777777" w:rsidR="001F1C7E" w:rsidRPr="00A87658" w:rsidRDefault="001F1C7E" w:rsidP="00A87658">
      <w:pPr>
        <w:rPr>
          <w:rFonts w:ascii="Times New Roman" w:hAnsi="Times New Roman" w:cs="Times New Roman"/>
        </w:rPr>
      </w:pPr>
    </w:p>
    <w:p w14:paraId="63B619AA" w14:textId="26AC2A06" w:rsidR="00433257" w:rsidRPr="00F72967" w:rsidRDefault="00F72967" w:rsidP="00F72967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72967">
        <w:rPr>
          <w:rFonts w:ascii="Times New Roman" w:hAnsi="Times New Roman" w:cs="Times New Roman" w:hint="eastAsia"/>
        </w:rPr>
        <w:t>根據資料一，描述政府財政收支差額的改變。</w:t>
      </w:r>
      <w:r>
        <w:rPr>
          <w:rFonts w:ascii="Times New Roman" w:hAnsi="Times New Roman" w:cs="Times New Roman" w:hint="eastAsia"/>
        </w:rPr>
        <w:t>(</w:t>
      </w:r>
      <w:r w:rsidR="00966E70" w:rsidRPr="00F72967">
        <w:rPr>
          <w:rFonts w:asciiTheme="minorEastAsia" w:hAnsiTheme="minorEastAsia" w:cs="Times New Roman" w:hint="eastAsia"/>
        </w:rPr>
        <w:t>從下表選擇</w:t>
      </w:r>
      <w:r w:rsidR="00FB5859" w:rsidRPr="00F72967">
        <w:rPr>
          <w:rFonts w:asciiTheme="minorEastAsia" w:hAnsiTheme="minorEastAsia" w:cs="Times New Roman" w:hint="eastAsia"/>
        </w:rPr>
        <w:t>並</w:t>
      </w:r>
      <w:r w:rsidR="00DE2F84" w:rsidRPr="00F72967">
        <w:rPr>
          <w:rFonts w:ascii="Times New Roman" w:eastAsia="新細明體" w:hAnsi="Times New Roman" w:cs="Times New Roman" w:hint="eastAsia"/>
        </w:rPr>
        <w:t>填</w:t>
      </w:r>
      <w:r w:rsidR="008A0862" w:rsidRPr="00F72967">
        <w:rPr>
          <w:rFonts w:ascii="Times New Roman" w:eastAsia="新細明體" w:hAnsi="Times New Roman" w:cs="Times New Roman" w:hint="eastAsia"/>
        </w:rPr>
        <w:t>寫</w:t>
      </w:r>
      <w:r>
        <w:rPr>
          <w:rFonts w:ascii="Times New Roman" w:eastAsia="新細明體" w:hAnsi="Times New Roman" w:cs="Times New Roman" w:hint="eastAsia"/>
        </w:rPr>
        <w:t>適當的答案</w:t>
      </w:r>
      <w:r>
        <w:rPr>
          <w:rFonts w:ascii="Times New Roman" w:eastAsia="新細明體" w:hAnsi="Times New Roman" w:cs="Times New Roman" w:hint="eastAsia"/>
        </w:rPr>
        <w:t>)</w:t>
      </w:r>
    </w:p>
    <w:p w14:paraId="182FBD14" w14:textId="29B997ED" w:rsidR="00FB5859" w:rsidRDefault="00FB5859" w:rsidP="00FB5859">
      <w:pPr>
        <w:pStyle w:val="a9"/>
        <w:ind w:leftChars="0" w:left="360"/>
        <w:rPr>
          <w:rFonts w:ascii="Times New Roman" w:eastAsia="新細明體" w:hAnsi="Times New Roman" w:cs="Times New Roman"/>
        </w:rPr>
      </w:pPr>
    </w:p>
    <w:p w14:paraId="276F23F6" w14:textId="4C06C4F4" w:rsidR="00FB5859" w:rsidRDefault="00631977" w:rsidP="00FB5859">
      <w:pPr>
        <w:pStyle w:val="a9"/>
        <w:ind w:leftChars="0" w:left="36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90548" wp14:editId="763F1389">
                <wp:simplePos x="0" y="0"/>
                <wp:positionH relativeFrom="margin">
                  <wp:posOffset>1394460</wp:posOffset>
                </wp:positionH>
                <wp:positionV relativeFrom="paragraph">
                  <wp:posOffset>121920</wp:posOffset>
                </wp:positionV>
                <wp:extent cx="2506980" cy="1143000"/>
                <wp:effectExtent l="0" t="0" r="2667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143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365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margin-left:109.8pt;margin-top:9.6pt;width:197.4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" filled="f" strokecolor="black [3213]" strokeweight="1pt">
                <w10:wrap anchorx="margin"/>
              </v:shape>
            </w:pict>
          </mc:Fallback>
        </mc:AlternateContent>
      </w:r>
    </w:p>
    <w:p w14:paraId="11337615" w14:textId="3ABEAC0B" w:rsidR="00FB5859" w:rsidRDefault="00631977" w:rsidP="00FB5859">
      <w:pPr>
        <w:pStyle w:val="a9"/>
        <w:ind w:leftChars="0" w:left="36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6326E" wp14:editId="2DAFC6D4">
                <wp:simplePos x="0" y="0"/>
                <wp:positionH relativeFrom="column">
                  <wp:posOffset>1592580</wp:posOffset>
                </wp:positionH>
                <wp:positionV relativeFrom="paragraph">
                  <wp:posOffset>7620</wp:posOffset>
                </wp:positionV>
                <wp:extent cx="2087880" cy="91440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80569" w14:textId="511AEF1D" w:rsidR="00FB5859" w:rsidRPr="00631977" w:rsidRDefault="00631977" w:rsidP="00631977">
                            <w:pPr>
                              <w:jc w:val="center"/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</w:pP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少於</w:t>
                            </w:r>
                            <w:r w:rsidRPr="00631977"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大於</w:t>
                            </w:r>
                            <w:r w:rsidRPr="00631977"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赤字</w:t>
                            </w:r>
                          </w:p>
                          <w:p w14:paraId="4F68AC11" w14:textId="4128B268" w:rsidR="00631977" w:rsidRPr="00631977" w:rsidRDefault="00631977" w:rsidP="00631977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3197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正數</w:t>
                            </w:r>
                            <w:r w:rsidRPr="0063197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負數</w:t>
                            </w:r>
                            <w:r w:rsidRPr="00631977"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盈餘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26E" id="Text Box 13" o:spid="_x0000_s1029" type="#_x0000_t202" style="position:absolute;left:0;text-align:left;margin-left:125.4pt;margin-top:.6pt;width:164.4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" fillcolor="white [3201]" stroked="f" strokeweight=".5pt">
                <v:textbox>
                  <w:txbxContent>
                    <w:p w14:paraId="03280569" w14:textId="511AEF1D" w:rsidR="00FB5859" w:rsidRPr="00631977" w:rsidRDefault="00631977" w:rsidP="00631977">
                      <w:pPr>
                        <w:jc w:val="center"/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</w:pP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少於</w:t>
                      </w:r>
                      <w:r w:rsidRPr="00631977"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大於</w:t>
                      </w:r>
                      <w:r w:rsidRPr="00631977"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赤字</w:t>
                      </w:r>
                    </w:p>
                    <w:p w14:paraId="4F68AC11" w14:textId="4128B268" w:rsidR="00631977" w:rsidRPr="00631977" w:rsidRDefault="00631977" w:rsidP="00631977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3197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正數</w:t>
                      </w:r>
                      <w:r w:rsidRPr="0063197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負數</w:t>
                      </w:r>
                      <w:r w:rsidRPr="00631977"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盈餘</w:t>
                      </w:r>
                    </w:p>
                  </w:txbxContent>
                </v:textbox>
              </v:shape>
            </w:pict>
          </mc:Fallback>
        </mc:AlternateContent>
      </w:r>
    </w:p>
    <w:p w14:paraId="3B3B53F4" w14:textId="3044D6A3" w:rsidR="00FB5859" w:rsidRDefault="00FB5859" w:rsidP="00FB5859">
      <w:pPr>
        <w:pStyle w:val="a9"/>
        <w:ind w:leftChars="0" w:left="360"/>
        <w:rPr>
          <w:rFonts w:ascii="Times New Roman" w:hAnsi="Times New Roman" w:cs="Times New Roman"/>
        </w:rPr>
      </w:pPr>
    </w:p>
    <w:p w14:paraId="1D6BA335" w14:textId="77777777" w:rsidR="00FB5859" w:rsidRDefault="00FB5859" w:rsidP="00FB5859">
      <w:pPr>
        <w:pStyle w:val="a9"/>
        <w:ind w:leftChars="0" w:left="360"/>
        <w:rPr>
          <w:rFonts w:ascii="Times New Roman" w:hAnsi="Times New Roman" w:cs="Times New Roman"/>
        </w:rPr>
      </w:pPr>
    </w:p>
    <w:p w14:paraId="64F77962" w14:textId="5E6DF420" w:rsidR="00FB5859" w:rsidRPr="0098329B" w:rsidRDefault="00FB5859" w:rsidP="00FB5859">
      <w:pPr>
        <w:pStyle w:val="a9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EB5B5" wp14:editId="08189CC4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516880" cy="2590800"/>
                <wp:effectExtent l="0" t="0" r="26670" b="1905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5908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50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0;margin-top:17.4pt;width:434.4pt;height:20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350E6AC8" w14:textId="66FF3140" w:rsidR="0098329B" w:rsidRDefault="0098329B" w:rsidP="0098329B">
      <w:pPr>
        <w:rPr>
          <w:rFonts w:ascii="Times New Roman" w:hAnsi="Times New Roman" w:cs="Times New Roman"/>
        </w:rPr>
      </w:pPr>
    </w:p>
    <w:p w14:paraId="10035DE7" w14:textId="080BAC36" w:rsidR="0098329B" w:rsidRDefault="0098329B" w:rsidP="00983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9AA86" wp14:editId="7BFA6BA5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5029200" cy="18059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976AF" w14:textId="77777777" w:rsidR="0098329B" w:rsidRPr="0098329B" w:rsidRDefault="0098329B" w:rsidP="0098329B">
                            <w:pPr>
                              <w:ind w:firstLineChars="200" w:firstLine="560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2017-2020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的財政年度，政府收入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大於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開支，財政收支差額均為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正數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，代表有財政</w:t>
                            </w:r>
                            <w:r w:rsidRPr="00FB5859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盈餘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。但從</w:t>
                            </w:r>
                            <w:r w:rsidRPr="00631977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2020-21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財政年度開始出現收支差額的改變，政府收入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少於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開支，連續三個財政年度的收支差額均為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負數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，表示出現財政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赤字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14:paraId="77DB7872" w14:textId="77777777" w:rsidR="0098329B" w:rsidRPr="0098329B" w:rsidRDefault="00983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AA86" id="Text Box 12" o:spid="_x0000_s1030" type="#_x0000_t202" style="position:absolute;margin-left:26.4pt;margin-top:9pt;width:396pt;height:14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" fillcolor="white [3201]" stroked="f" strokeweight=".5pt">
                <v:textbox>
                  <w:txbxContent>
                    <w:p w14:paraId="759976AF" w14:textId="77777777" w:rsidR="0098329B" w:rsidRPr="0098329B" w:rsidRDefault="0098329B" w:rsidP="0098329B">
                      <w:pPr>
                        <w:ind w:firstLineChars="200" w:firstLine="560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2017-2020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的財政年度，政府收入</w:t>
                      </w:r>
                      <w:r w:rsidRPr="0098329B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6"/>
                          <w:u w:val="single"/>
                        </w:rPr>
                        <w:t>大於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開支，財政收支</w:t>
                      </w:r>
                      <w:proofErr w:type="gramStart"/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差額均為</w:t>
                      </w:r>
                      <w:r w:rsidRPr="0098329B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6"/>
                          <w:u w:val="single"/>
                        </w:rPr>
                        <w:t>正數</w:t>
                      </w:r>
                      <w:proofErr w:type="gramEnd"/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，代表有財政</w:t>
                      </w:r>
                      <w:r w:rsidRPr="00FB5859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6"/>
                          <w:u w:val="single"/>
                        </w:rPr>
                        <w:t>盈餘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。但從</w:t>
                      </w:r>
                      <w:r w:rsidRPr="00631977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2020-21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財政年度開始出現收支差額的改變，政府收入</w:t>
                      </w:r>
                      <w:r w:rsidRPr="0098329B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6"/>
                          <w:u w:val="single"/>
                        </w:rPr>
                        <w:t>少於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開支，連續三個財政年度的收支</w:t>
                      </w:r>
                      <w:proofErr w:type="gramStart"/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差額均為</w:t>
                      </w:r>
                      <w:r w:rsidRPr="0098329B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6"/>
                          <w:u w:val="single"/>
                        </w:rPr>
                        <w:t>負數</w:t>
                      </w:r>
                      <w:proofErr w:type="gramEnd"/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，表示出現財政</w:t>
                      </w:r>
                      <w:r w:rsidRPr="0098329B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6"/>
                          <w:u w:val="single"/>
                        </w:rPr>
                        <w:t>赤字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。</w:t>
                      </w:r>
                    </w:p>
                    <w:p w14:paraId="77DB7872" w14:textId="77777777" w:rsidR="0098329B" w:rsidRPr="0098329B" w:rsidRDefault="0098329B"/>
                  </w:txbxContent>
                </v:textbox>
              </v:shape>
            </w:pict>
          </mc:Fallback>
        </mc:AlternateContent>
      </w:r>
    </w:p>
    <w:p w14:paraId="6CB011C7" w14:textId="4A465A86" w:rsidR="0098329B" w:rsidRPr="0098329B" w:rsidRDefault="0098329B" w:rsidP="0098329B">
      <w:pPr>
        <w:rPr>
          <w:rFonts w:ascii="Times New Roman" w:hAnsi="Times New Roman" w:cs="Times New Roman"/>
        </w:rPr>
      </w:pPr>
    </w:p>
    <w:p w14:paraId="2AB0F141" w14:textId="2E919935" w:rsidR="0098329B" w:rsidRDefault="0098329B" w:rsidP="0098329B">
      <w:pPr>
        <w:rPr>
          <w:rFonts w:ascii="Times New Roman" w:hAnsi="Times New Roman" w:cs="Times New Roman"/>
        </w:rPr>
      </w:pPr>
    </w:p>
    <w:p w14:paraId="22AF4DAA" w14:textId="0974C777" w:rsidR="0098329B" w:rsidRDefault="0098329B" w:rsidP="0098329B">
      <w:pPr>
        <w:rPr>
          <w:rFonts w:ascii="Times New Roman" w:hAnsi="Times New Roman" w:cs="Times New Roman"/>
        </w:rPr>
      </w:pPr>
    </w:p>
    <w:p w14:paraId="6014C757" w14:textId="56718D48" w:rsidR="0098329B" w:rsidRDefault="0098329B" w:rsidP="0098329B">
      <w:pPr>
        <w:rPr>
          <w:rFonts w:ascii="Times New Roman" w:hAnsi="Times New Roman" w:cs="Times New Roman"/>
        </w:rPr>
      </w:pPr>
    </w:p>
    <w:p w14:paraId="5D45F439" w14:textId="485853B0" w:rsidR="0098329B" w:rsidRDefault="0098329B" w:rsidP="0098329B">
      <w:pPr>
        <w:rPr>
          <w:rFonts w:ascii="Times New Roman" w:hAnsi="Times New Roman" w:cs="Times New Roman"/>
        </w:rPr>
      </w:pPr>
    </w:p>
    <w:p w14:paraId="7F8F5037" w14:textId="01D65D08" w:rsidR="0098329B" w:rsidRDefault="0098329B" w:rsidP="0098329B">
      <w:pPr>
        <w:rPr>
          <w:rFonts w:ascii="Times New Roman" w:hAnsi="Times New Roman" w:cs="Times New Roman"/>
        </w:rPr>
      </w:pPr>
    </w:p>
    <w:p w14:paraId="17BBA199" w14:textId="3A445DAC" w:rsidR="0098329B" w:rsidRDefault="0098329B" w:rsidP="0098329B">
      <w:pPr>
        <w:rPr>
          <w:rFonts w:ascii="Times New Roman" w:hAnsi="Times New Roman" w:cs="Times New Roman"/>
        </w:rPr>
      </w:pPr>
    </w:p>
    <w:p w14:paraId="6BCA6BB8" w14:textId="77777777" w:rsidR="0098329B" w:rsidRPr="0098329B" w:rsidRDefault="0098329B" w:rsidP="0098329B">
      <w:pPr>
        <w:rPr>
          <w:rFonts w:ascii="Times New Roman" w:hAnsi="Times New Roman" w:cs="Times New Roman"/>
        </w:rPr>
      </w:pPr>
    </w:p>
    <w:p w14:paraId="33FD391D" w14:textId="51D542E6" w:rsidR="000D6BDC" w:rsidRDefault="000D6BDC" w:rsidP="00433257">
      <w:pPr>
        <w:rPr>
          <w:rFonts w:ascii="Times New Roman" w:hAnsi="Times New Roman" w:cs="Times New Roman"/>
        </w:rPr>
      </w:pPr>
    </w:p>
    <w:p w14:paraId="7D7448FE" w14:textId="2DBB7818" w:rsidR="00FB5859" w:rsidRDefault="00FB5859" w:rsidP="00433257">
      <w:pPr>
        <w:rPr>
          <w:rFonts w:ascii="Times New Roman" w:hAnsi="Times New Roman" w:cs="Times New Roman"/>
        </w:rPr>
      </w:pPr>
    </w:p>
    <w:p w14:paraId="0BFB095D" w14:textId="36F20812" w:rsidR="00FB5859" w:rsidRDefault="00FB5859" w:rsidP="00433257">
      <w:pPr>
        <w:rPr>
          <w:rFonts w:ascii="Times New Roman" w:hAnsi="Times New Roman" w:cs="Times New Roman"/>
        </w:rPr>
      </w:pPr>
    </w:p>
    <w:p w14:paraId="7E2C6B9C" w14:textId="0996962E" w:rsidR="00FB5859" w:rsidRDefault="00FB5859" w:rsidP="00433257">
      <w:pPr>
        <w:rPr>
          <w:rFonts w:ascii="Times New Roman" w:hAnsi="Times New Roman" w:cs="Times New Roman"/>
        </w:rPr>
      </w:pPr>
    </w:p>
    <w:p w14:paraId="710C1EA7" w14:textId="4073F985" w:rsidR="00FB5859" w:rsidRDefault="00FB5859" w:rsidP="00433257">
      <w:pPr>
        <w:rPr>
          <w:rFonts w:ascii="Times New Roman" w:hAnsi="Times New Roman" w:cs="Times New Roman"/>
        </w:rPr>
      </w:pPr>
    </w:p>
    <w:p w14:paraId="3C383F1B" w14:textId="3130F2EA" w:rsidR="00FB5859" w:rsidRDefault="00FB5859" w:rsidP="00433257">
      <w:pPr>
        <w:rPr>
          <w:rFonts w:ascii="Times New Roman" w:hAnsi="Times New Roman" w:cs="Times New Roman"/>
        </w:rPr>
      </w:pPr>
    </w:p>
    <w:p w14:paraId="3DE3C496" w14:textId="40FD6EFD" w:rsidR="00FB5859" w:rsidRDefault="00FB5859" w:rsidP="00433257">
      <w:pPr>
        <w:rPr>
          <w:rFonts w:ascii="Times New Roman" w:hAnsi="Times New Roman" w:cs="Times New Roman"/>
        </w:rPr>
      </w:pPr>
    </w:p>
    <w:p w14:paraId="2B59BA72" w14:textId="5A19D5AC" w:rsidR="00AC2FCF" w:rsidRPr="00E831BD" w:rsidRDefault="00AC2FCF" w:rsidP="00433257">
      <w:pPr>
        <w:rPr>
          <w:rFonts w:ascii="Times New Roman" w:hAnsi="Times New Roman" w:cs="Times New Roman"/>
        </w:rPr>
      </w:pPr>
    </w:p>
    <w:p w14:paraId="09AFD526" w14:textId="77777777" w:rsidR="00C832E5" w:rsidRPr="00E831BD" w:rsidRDefault="001379A2" w:rsidP="001379A2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lastRenderedPageBreak/>
        <w:t>承上題</w:t>
      </w:r>
      <w:r w:rsidRPr="00E831BD">
        <w:rPr>
          <w:rFonts w:ascii="Times New Roman" w:eastAsia="新細明體" w:hAnsi="Times New Roman" w:cs="Times New Roman"/>
        </w:rPr>
        <w:t>，</w:t>
      </w:r>
      <w:r w:rsidR="00382B74" w:rsidRPr="00E831BD">
        <w:rPr>
          <w:rFonts w:ascii="Times New Roman" w:hAnsi="Times New Roman" w:cs="Times New Roman"/>
        </w:rPr>
        <w:t>根據資料二，解釋</w:t>
      </w:r>
      <w:r w:rsidR="00A91824" w:rsidRPr="00E831BD">
        <w:rPr>
          <w:rFonts w:ascii="Times New Roman" w:eastAsia="新細明體" w:hAnsi="Times New Roman" w:cs="Times New Roman"/>
        </w:rPr>
        <w:t>一個</w:t>
      </w:r>
      <w:r w:rsidR="00382B74" w:rsidRPr="00E831BD">
        <w:rPr>
          <w:rFonts w:ascii="Times New Roman" w:eastAsia="新細明體" w:hAnsi="Times New Roman" w:cs="Times New Roman"/>
        </w:rPr>
        <w:t>導致</w:t>
      </w:r>
      <w:r w:rsidRPr="00E831BD">
        <w:rPr>
          <w:rFonts w:ascii="Times New Roman" w:hAnsi="Times New Roman" w:cs="Times New Roman"/>
        </w:rPr>
        <w:t>收支差額</w:t>
      </w:r>
      <w:r w:rsidR="00382B74" w:rsidRPr="00E831BD">
        <w:rPr>
          <w:rFonts w:ascii="Times New Roman" w:hAnsi="Times New Roman" w:cs="Times New Roman"/>
        </w:rPr>
        <w:t>改變</w:t>
      </w:r>
      <w:r w:rsidR="006B22DD" w:rsidRPr="00E831BD">
        <w:rPr>
          <w:rFonts w:ascii="Times New Roman" w:hAnsi="Times New Roman" w:cs="Times New Roman"/>
        </w:rPr>
        <w:t>的</w:t>
      </w:r>
      <w:r w:rsidR="006B22DD" w:rsidRPr="00E831BD">
        <w:rPr>
          <w:rFonts w:ascii="Times New Roman" w:eastAsia="新細明體" w:hAnsi="Times New Roman" w:cs="Times New Roman"/>
        </w:rPr>
        <w:t>主要原因</w:t>
      </w:r>
      <w:r w:rsidR="00382B74" w:rsidRPr="00E831BD">
        <w:rPr>
          <w:rFonts w:ascii="Times New Roman" w:hAnsi="Times New Roman" w:cs="Times New Roman"/>
        </w:rPr>
        <w:t>。</w:t>
      </w:r>
    </w:p>
    <w:p w14:paraId="3990C9BA" w14:textId="77777777" w:rsidR="00F92776" w:rsidRPr="00E831BD" w:rsidRDefault="002730A0" w:rsidP="00F92776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B8366" wp14:editId="372F46C4">
                <wp:simplePos x="0" y="0"/>
                <wp:positionH relativeFrom="margin">
                  <wp:posOffset>-53340</wp:posOffset>
                </wp:positionH>
                <wp:positionV relativeFrom="paragraph">
                  <wp:posOffset>137160</wp:posOffset>
                </wp:positionV>
                <wp:extent cx="5547360" cy="1537335"/>
                <wp:effectExtent l="0" t="0" r="1524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A5CFE" w14:textId="7F36C177" w:rsidR="00433257" w:rsidRPr="005933CF" w:rsidRDefault="005933CF" w:rsidP="00A23496">
                            <w:pPr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5933C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受新冠肺炎疫情影響，政府防疫抗疫及支援措施</w:t>
                            </w:r>
                            <w:r w:rsidR="00A2349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均</w:t>
                            </w:r>
                            <w:r w:rsidRPr="005933C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涉及龐大的財政支出，導</w:t>
                            </w:r>
                            <w:r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致自</w:t>
                            </w:r>
                            <w:r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2020</w:t>
                            </w:r>
                            <w:r w:rsidR="00A23496"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-21</w:t>
                            </w:r>
                            <w:r w:rsidR="00A23496"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財政</w:t>
                            </w:r>
                            <w:r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年</w:t>
                            </w:r>
                            <w:r w:rsidR="00A23496"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度</w:t>
                            </w:r>
                            <w:r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起，連續三</w:t>
                            </w:r>
                            <w:r w:rsidR="00A23496"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個財政年度均出現</w:t>
                            </w:r>
                            <w:r w:rsidRPr="00AE6B8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財政赤字。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B8366" id="Text Box 4" o:spid="_x0000_s1031" type="#_x0000_t202" style="position:absolute;margin-left:-4.2pt;margin-top:10.8pt;width:436.8pt;height:121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" fillcolor="white [3201]" strokeweight=".5pt">
                <v:textbox>
                  <w:txbxContent>
                    <w:p w14:paraId="11FA5CFE" w14:textId="7F36C177" w:rsidR="00433257" w:rsidRPr="005933CF" w:rsidRDefault="005933CF" w:rsidP="00A23496">
                      <w:pPr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5933CF">
                        <w:rPr>
                          <w:rFonts w:asciiTheme="minorEastAsia" w:hAnsiTheme="minorEastAsia" w:hint="eastAsia"/>
                          <w:color w:val="FF0000"/>
                        </w:rPr>
                        <w:t>受</w:t>
                      </w:r>
                      <w:proofErr w:type="gramStart"/>
                      <w:r w:rsidRPr="005933CF">
                        <w:rPr>
                          <w:rFonts w:asciiTheme="minorEastAsia" w:hAnsiTheme="minorEastAsia" w:hint="eastAsia"/>
                          <w:color w:val="FF0000"/>
                        </w:rPr>
                        <w:t>新冠肺炎疫</w:t>
                      </w:r>
                      <w:proofErr w:type="gramEnd"/>
                      <w:r w:rsidRPr="005933CF">
                        <w:rPr>
                          <w:rFonts w:asciiTheme="minorEastAsia" w:hAnsiTheme="minorEastAsia" w:hint="eastAsia"/>
                          <w:color w:val="FF0000"/>
                        </w:rPr>
                        <w:t>情影響，政府防疫抗</w:t>
                      </w:r>
                      <w:proofErr w:type="gramStart"/>
                      <w:r w:rsidRPr="005933CF">
                        <w:rPr>
                          <w:rFonts w:asciiTheme="minorEastAsia" w:hAnsiTheme="minorEastAsia" w:hint="eastAsia"/>
                          <w:color w:val="FF0000"/>
                        </w:rPr>
                        <w:t>疫</w:t>
                      </w:r>
                      <w:proofErr w:type="gramEnd"/>
                      <w:r w:rsidRPr="005933CF">
                        <w:rPr>
                          <w:rFonts w:asciiTheme="minorEastAsia" w:hAnsiTheme="minorEastAsia" w:hint="eastAsia"/>
                          <w:color w:val="FF0000"/>
                        </w:rPr>
                        <w:t>及支援措施</w:t>
                      </w:r>
                      <w:r w:rsidR="00A23496">
                        <w:rPr>
                          <w:rFonts w:asciiTheme="minorEastAsia" w:hAnsiTheme="minorEastAsia" w:hint="eastAsia"/>
                          <w:color w:val="FF0000"/>
                        </w:rPr>
                        <w:t>均</w:t>
                      </w:r>
                      <w:r w:rsidRPr="005933CF">
                        <w:rPr>
                          <w:rFonts w:asciiTheme="minorEastAsia" w:hAnsiTheme="minorEastAsia" w:hint="eastAsia"/>
                          <w:color w:val="FF0000"/>
                        </w:rPr>
                        <w:t>涉及龐大的財政支出，導</w:t>
                      </w:r>
                      <w:r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致自</w:t>
                      </w:r>
                      <w:r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2020</w:t>
                      </w:r>
                      <w:r w:rsidR="00A23496"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-21</w:t>
                      </w:r>
                      <w:r w:rsidR="00A23496"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財政</w:t>
                      </w:r>
                      <w:r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年</w:t>
                      </w:r>
                      <w:r w:rsidR="00A23496"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度</w:t>
                      </w:r>
                      <w:r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起，連續三</w:t>
                      </w:r>
                      <w:r w:rsidR="00A23496"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個財政年度均出現</w:t>
                      </w:r>
                      <w:r w:rsidRPr="00AE6B8A">
                        <w:rPr>
                          <w:rFonts w:ascii="Times New Roman" w:hAnsi="Times New Roman" w:cs="Times New Roman"/>
                          <w:color w:val="FF0000"/>
                        </w:rPr>
                        <w:t>財政赤字。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7C3E2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13426A61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75F7C455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3D33F175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0CC2E3A8" w14:textId="77777777" w:rsidR="002730A0" w:rsidRPr="00E831BD" w:rsidRDefault="002730A0" w:rsidP="00F92776">
      <w:pPr>
        <w:rPr>
          <w:rFonts w:ascii="Times New Roman" w:hAnsi="Times New Roman" w:cs="Times New Roman"/>
        </w:rPr>
      </w:pPr>
    </w:p>
    <w:p w14:paraId="2BA468D1" w14:textId="77777777" w:rsidR="002730A0" w:rsidRPr="00E831BD" w:rsidRDefault="002730A0" w:rsidP="00F92776">
      <w:pPr>
        <w:rPr>
          <w:rFonts w:ascii="Times New Roman" w:hAnsi="Times New Roman" w:cs="Times New Roman"/>
        </w:rPr>
      </w:pPr>
    </w:p>
    <w:p w14:paraId="5D55EA06" w14:textId="27F5236B" w:rsidR="00433257" w:rsidRDefault="00433257" w:rsidP="00433257">
      <w:pPr>
        <w:rPr>
          <w:rFonts w:ascii="Times New Roman" w:hAnsi="Times New Roman" w:cs="Times New Roman"/>
        </w:rPr>
      </w:pPr>
    </w:p>
    <w:p w14:paraId="18BED3EE" w14:textId="792EA7C6" w:rsidR="00D5334C" w:rsidRPr="00E831BD" w:rsidRDefault="00D5334C" w:rsidP="00433257">
      <w:pPr>
        <w:rPr>
          <w:rFonts w:ascii="Times New Roman" w:hAnsi="Times New Roman" w:cs="Times New Roman"/>
        </w:rPr>
      </w:pPr>
    </w:p>
    <w:p w14:paraId="43FFC8B0" w14:textId="7E983B1E" w:rsidR="002730A0" w:rsidRPr="00CE1475" w:rsidRDefault="000472AC" w:rsidP="000472AC">
      <w:pPr>
        <w:pStyle w:val="a9"/>
        <w:numPr>
          <w:ilvl w:val="0"/>
          <w:numId w:val="2"/>
        </w:numPr>
        <w:ind w:leftChars="0"/>
        <w:rPr>
          <w:rFonts w:asciiTheme="minorEastAsia" w:hAnsiTheme="minorEastAsia" w:cs="Times New Roman"/>
        </w:rPr>
      </w:pPr>
      <w:r w:rsidRPr="00CE1475">
        <w:rPr>
          <w:rFonts w:asciiTheme="minorEastAsia" w:hAnsiTheme="minorEastAsia" w:cs="Times New Roman"/>
        </w:rPr>
        <w:t>根據資料三，描述不同年齡組別人口趨勢的</w:t>
      </w:r>
      <w:r w:rsidR="00EE1A4B" w:rsidRPr="00CE1475">
        <w:rPr>
          <w:rFonts w:asciiTheme="minorEastAsia" w:hAnsiTheme="minorEastAsia" w:cs="Times New Roman"/>
        </w:rPr>
        <w:t>轉</w:t>
      </w:r>
      <w:r w:rsidRPr="00CE1475">
        <w:rPr>
          <w:rFonts w:asciiTheme="minorEastAsia" w:hAnsiTheme="minorEastAsia" w:cs="Times New Roman"/>
        </w:rPr>
        <w:t>變，</w:t>
      </w:r>
      <w:r w:rsidR="00EE1A4B" w:rsidRPr="00CE1475">
        <w:rPr>
          <w:rFonts w:asciiTheme="minorEastAsia" w:hAnsiTheme="minorEastAsia" w:cs="Times New Roman"/>
        </w:rPr>
        <w:t>並</w:t>
      </w:r>
      <w:r w:rsidRPr="00CE1475">
        <w:rPr>
          <w:rFonts w:asciiTheme="minorEastAsia" w:hAnsiTheme="minorEastAsia" w:cs="Times New Roman"/>
        </w:rPr>
        <w:t>指出</w:t>
      </w:r>
      <w:r w:rsidR="00EE1A4B" w:rsidRPr="00CE1475">
        <w:rPr>
          <w:rFonts w:asciiTheme="minorEastAsia" w:hAnsiTheme="minorEastAsia" w:cs="Times New Roman"/>
        </w:rPr>
        <w:t>因為這種趨勢的轉變所</w:t>
      </w:r>
      <w:r w:rsidRPr="00CE1475">
        <w:rPr>
          <w:rFonts w:asciiTheme="minorEastAsia" w:hAnsiTheme="minorEastAsia" w:cs="Times New Roman"/>
        </w:rPr>
        <w:t>產生的人口現象。</w:t>
      </w:r>
    </w:p>
    <w:p w14:paraId="46C2DFFA" w14:textId="6847E261" w:rsidR="002730A0" w:rsidRPr="00E831BD" w:rsidRDefault="001F1C7E" w:rsidP="00433257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3B45F" wp14:editId="6A6A17B2">
                <wp:simplePos x="0" y="0"/>
                <wp:positionH relativeFrom="margin">
                  <wp:posOffset>-68580</wp:posOffset>
                </wp:positionH>
                <wp:positionV relativeFrom="paragraph">
                  <wp:posOffset>114300</wp:posOffset>
                </wp:positionV>
                <wp:extent cx="5539740" cy="1537335"/>
                <wp:effectExtent l="0" t="0" r="2286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5FE66" w14:textId="77777777" w:rsidR="000472AC" w:rsidRPr="00B819A8" w:rsidRDefault="00B819A8" w:rsidP="000472AC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出生人口</w:t>
                            </w:r>
                            <w:r w:rsidRPr="00B819A8">
                              <w:rPr>
                                <w:rFonts w:asciiTheme="minorEastAsia" w:hAnsiTheme="minorEastAsia"/>
                                <w:color w:val="FF0000"/>
                              </w:rPr>
                              <w:t>/</w:t>
                            </w: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年青人：減少</w:t>
                            </w:r>
                          </w:p>
                          <w:p w14:paraId="4CCD4274" w14:textId="77777777" w:rsidR="00B819A8" w:rsidRPr="00B819A8" w:rsidRDefault="00B819A8" w:rsidP="000472AC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勞動人口</w:t>
                            </w:r>
                            <w:r w:rsidRPr="00B819A8">
                              <w:rPr>
                                <w:rFonts w:asciiTheme="minorEastAsia" w:hAnsiTheme="minorEastAsia"/>
                                <w:color w:val="FF0000"/>
                              </w:rPr>
                              <w:t>/</w:t>
                            </w: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壯年人：減少</w:t>
                            </w:r>
                          </w:p>
                          <w:p w14:paraId="797B4D34" w14:textId="77777777" w:rsidR="00B819A8" w:rsidRPr="00B819A8" w:rsidRDefault="00B819A8" w:rsidP="000472AC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長者</w:t>
                            </w:r>
                            <w:r w:rsidRPr="00B819A8">
                              <w:rPr>
                                <w:rFonts w:asciiTheme="minorEastAsia" w:hAnsiTheme="minorEastAsia"/>
                                <w:color w:val="FF0000"/>
                              </w:rPr>
                              <w:t>/</w:t>
                            </w: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老年人：增加</w:t>
                            </w:r>
                          </w:p>
                          <w:p w14:paraId="0A4DC7C5" w14:textId="77777777" w:rsidR="00B819A8" w:rsidRPr="00B819A8" w:rsidRDefault="00B819A8" w:rsidP="000472AC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64F5780D" w14:textId="77777777" w:rsidR="00B819A8" w:rsidRPr="00B819A8" w:rsidRDefault="00B819A8" w:rsidP="000472AC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人口現象：人口老化</w:t>
                            </w:r>
                            <w:r w:rsidRPr="00B819A8">
                              <w:rPr>
                                <w:rFonts w:asciiTheme="minorEastAsia" w:hAnsiTheme="minorEastAsia"/>
                                <w:color w:val="FF0000"/>
                              </w:rPr>
                              <w:t>/</w:t>
                            </w:r>
                            <w:r w:rsidRPr="00B819A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人口老齡化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3B45F" id="Text Box 1" o:spid="_x0000_s1032" type="#_x0000_t202" style="position:absolute;margin-left:-5.4pt;margin-top:9pt;width:436.2pt;height:121.0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" fillcolor="white [3201]" strokeweight=".5pt">
                <v:textbox>
                  <w:txbxContent>
                    <w:p w14:paraId="1E15FE66" w14:textId="77777777" w:rsidR="000472AC" w:rsidRPr="00B819A8" w:rsidRDefault="00B819A8" w:rsidP="000472AC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出生人口</w:t>
                      </w:r>
                      <w:r w:rsidRPr="00B819A8">
                        <w:rPr>
                          <w:rFonts w:asciiTheme="minorEastAsia" w:hAnsiTheme="minorEastAsia"/>
                          <w:color w:val="FF0000"/>
                        </w:rPr>
                        <w:t>/</w:t>
                      </w: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年青人：減少</w:t>
                      </w:r>
                    </w:p>
                    <w:p w14:paraId="4CCD4274" w14:textId="77777777" w:rsidR="00B819A8" w:rsidRPr="00B819A8" w:rsidRDefault="00B819A8" w:rsidP="000472AC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勞動人口</w:t>
                      </w:r>
                      <w:r w:rsidRPr="00B819A8">
                        <w:rPr>
                          <w:rFonts w:asciiTheme="minorEastAsia" w:hAnsiTheme="minorEastAsia"/>
                          <w:color w:val="FF0000"/>
                        </w:rPr>
                        <w:t>/</w:t>
                      </w: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壯年人：減少</w:t>
                      </w:r>
                    </w:p>
                    <w:p w14:paraId="797B4D34" w14:textId="77777777" w:rsidR="00B819A8" w:rsidRPr="00B819A8" w:rsidRDefault="00B819A8" w:rsidP="000472AC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長者</w:t>
                      </w:r>
                      <w:r w:rsidRPr="00B819A8">
                        <w:rPr>
                          <w:rFonts w:asciiTheme="minorEastAsia" w:hAnsiTheme="minorEastAsia"/>
                          <w:color w:val="FF0000"/>
                        </w:rPr>
                        <w:t>/</w:t>
                      </w: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老年人：增加</w:t>
                      </w:r>
                    </w:p>
                    <w:p w14:paraId="0A4DC7C5" w14:textId="77777777" w:rsidR="00B819A8" w:rsidRPr="00B819A8" w:rsidRDefault="00B819A8" w:rsidP="000472AC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64F5780D" w14:textId="77777777" w:rsidR="00B819A8" w:rsidRPr="00B819A8" w:rsidRDefault="00B819A8" w:rsidP="000472AC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人口現象：人口老化</w:t>
                      </w:r>
                      <w:r w:rsidRPr="00B819A8">
                        <w:rPr>
                          <w:rFonts w:asciiTheme="minorEastAsia" w:hAnsiTheme="minorEastAsia"/>
                          <w:color w:val="FF0000"/>
                        </w:rPr>
                        <w:t>/</w:t>
                      </w:r>
                      <w:r w:rsidRPr="00B819A8">
                        <w:rPr>
                          <w:rFonts w:asciiTheme="minorEastAsia" w:hAnsiTheme="minorEastAsia" w:hint="eastAsia"/>
                          <w:color w:val="FF0000"/>
                        </w:rPr>
                        <w:t>人口老齡化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76412" w14:textId="67BD67E6" w:rsidR="002730A0" w:rsidRPr="00E831BD" w:rsidRDefault="002730A0" w:rsidP="00433257">
      <w:pPr>
        <w:rPr>
          <w:rFonts w:ascii="Times New Roman" w:hAnsi="Times New Roman" w:cs="Times New Roman"/>
        </w:rPr>
      </w:pPr>
    </w:p>
    <w:p w14:paraId="4566CFBE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143C97A0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7391824E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3040D87B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42BDC11F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04A6A552" w14:textId="0F022CDF" w:rsidR="002730A0" w:rsidRDefault="002730A0" w:rsidP="00433257">
      <w:pPr>
        <w:rPr>
          <w:rFonts w:ascii="Times New Roman" w:hAnsi="Times New Roman" w:cs="Times New Roman"/>
        </w:rPr>
      </w:pPr>
    </w:p>
    <w:p w14:paraId="618010BF" w14:textId="77777777" w:rsidR="001F1C7E" w:rsidRPr="00E831BD" w:rsidRDefault="001F1C7E" w:rsidP="00433257">
      <w:pPr>
        <w:rPr>
          <w:rFonts w:ascii="Times New Roman" w:hAnsi="Times New Roman" w:cs="Times New Roman"/>
        </w:rPr>
      </w:pPr>
    </w:p>
    <w:p w14:paraId="0820F337" w14:textId="43D5BBAB" w:rsidR="002730A0" w:rsidRPr="001F1C7E" w:rsidRDefault="00AA6115" w:rsidP="00F72967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承上題，</w:t>
      </w:r>
      <w:r w:rsidR="00F72967" w:rsidRPr="00F72967">
        <w:rPr>
          <w:rFonts w:ascii="Times New Roman" w:hAnsi="Times New Roman" w:cs="Times New Roman" w:hint="eastAsia"/>
        </w:rPr>
        <w:t>參考</w:t>
      </w:r>
      <w:r w:rsidRPr="00E831BD">
        <w:rPr>
          <w:rFonts w:ascii="Times New Roman" w:hAnsi="Times New Roman" w:cs="Times New Roman"/>
        </w:rPr>
        <w:t>資料</w:t>
      </w:r>
      <w:r w:rsidRPr="00E831BD">
        <w:rPr>
          <w:rFonts w:ascii="Times New Roman" w:eastAsia="新細明體" w:hAnsi="Times New Roman" w:cs="Times New Roman"/>
        </w:rPr>
        <w:t>四</w:t>
      </w:r>
      <w:r w:rsidRPr="00E831BD">
        <w:rPr>
          <w:rFonts w:ascii="Times New Roman" w:hAnsi="Times New Roman" w:cs="Times New Roman"/>
        </w:rPr>
        <w:t>，</w:t>
      </w:r>
      <w:r w:rsidRPr="00E831BD">
        <w:rPr>
          <w:rFonts w:ascii="Times New Roman" w:eastAsia="新細明體" w:hAnsi="Times New Roman" w:cs="Times New Roman"/>
        </w:rPr>
        <w:t>解釋這人口現象如何長遠影響香港的公共財政。</w:t>
      </w:r>
    </w:p>
    <w:p w14:paraId="64E3D032" w14:textId="087B77F8" w:rsidR="001F1C7E" w:rsidRPr="001F1C7E" w:rsidRDefault="001F1C7E" w:rsidP="001F1C7E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B730C" wp14:editId="3DAF26D0">
                <wp:simplePos x="0" y="0"/>
                <wp:positionH relativeFrom="margin">
                  <wp:posOffset>-76200</wp:posOffset>
                </wp:positionH>
                <wp:positionV relativeFrom="paragraph">
                  <wp:posOffset>243840</wp:posOffset>
                </wp:positionV>
                <wp:extent cx="5539740" cy="1537335"/>
                <wp:effectExtent l="0" t="0" r="2286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E885B" w14:textId="626A848B" w:rsidR="00EE1A4B" w:rsidRDefault="00125B57" w:rsidP="0006390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EE1A4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長者勞動人口參與率較低，而年青人和壯年人的</w:t>
                            </w:r>
                            <w:r w:rsidR="00063909" w:rsidRPr="00063909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比例</w:t>
                            </w:r>
                            <w:r w:rsidRPr="00EE1A4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持續減少，整體勞動人口參與率會隨之下降。人力資源是本港經濟增長的其中一個重要元素，若本地勞動人口萎縮，很可能</w:t>
                            </w:r>
                            <w:r w:rsidR="00063909" w:rsidRPr="00063909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影響</w:t>
                            </w:r>
                            <w:r w:rsidRPr="00EE1A4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經濟增長的潛力，導致公共財政收入減少。</w:t>
                            </w:r>
                          </w:p>
                          <w:p w14:paraId="2C482A02" w14:textId="2612736C" w:rsidR="00AA6115" w:rsidRPr="00EE1A4B" w:rsidRDefault="00125B57" w:rsidP="00EE1A4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EE1A4B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長者人數持續上升會增加對各項安老及醫療服務的需求，增加公共財政的支出，長遠對香港的公共財政造成負擔。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B730C" id="Text Box 7" o:spid="_x0000_s1033" type="#_x0000_t202" style="position:absolute;margin-left:-6pt;margin-top:19.2pt;width:436.2pt;height:121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" fillcolor="white [3201]" strokeweight=".5pt">
                <v:textbox>
                  <w:txbxContent>
                    <w:p w14:paraId="25EE885B" w14:textId="626A848B" w:rsidR="00EE1A4B" w:rsidRDefault="00125B57" w:rsidP="000639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EE1A4B">
                        <w:rPr>
                          <w:rFonts w:asciiTheme="minorEastAsia" w:hAnsiTheme="minorEastAsia" w:hint="eastAsia"/>
                          <w:color w:val="FF0000"/>
                        </w:rPr>
                        <w:t>長者勞動人口參與率較低，而年青人和壯年人的</w:t>
                      </w:r>
                      <w:r w:rsidR="00063909" w:rsidRPr="00063909">
                        <w:rPr>
                          <w:rFonts w:asciiTheme="minorEastAsia" w:hAnsiTheme="minorEastAsia" w:hint="eastAsia"/>
                          <w:color w:val="FF0000"/>
                        </w:rPr>
                        <w:t>比例</w:t>
                      </w:r>
                      <w:r w:rsidRPr="00EE1A4B">
                        <w:rPr>
                          <w:rFonts w:asciiTheme="minorEastAsia" w:hAnsiTheme="minorEastAsia" w:hint="eastAsia"/>
                          <w:color w:val="FF0000"/>
                        </w:rPr>
                        <w:t>持續減少，整體勞動人口參與率會隨之下降。人力資源是本港經濟增長的其中一個重要元素，若本地勞動人口萎縮，很可能</w:t>
                      </w:r>
                      <w:r w:rsidR="00063909" w:rsidRPr="00063909">
                        <w:rPr>
                          <w:rFonts w:asciiTheme="minorEastAsia" w:hAnsiTheme="minorEastAsia" w:hint="eastAsia"/>
                          <w:color w:val="FF0000"/>
                        </w:rPr>
                        <w:t>影響</w:t>
                      </w:r>
                      <w:r w:rsidRPr="00EE1A4B">
                        <w:rPr>
                          <w:rFonts w:asciiTheme="minorEastAsia" w:hAnsiTheme="minorEastAsia" w:hint="eastAsia"/>
                          <w:color w:val="FF0000"/>
                        </w:rPr>
                        <w:t>經濟增長的潛力，導致公共財政收入減少。</w:t>
                      </w:r>
                    </w:p>
                    <w:p w14:paraId="2C482A02" w14:textId="2612736C" w:rsidR="00AA6115" w:rsidRPr="00EE1A4B" w:rsidRDefault="00125B57" w:rsidP="00EE1A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EE1A4B">
                        <w:rPr>
                          <w:rFonts w:asciiTheme="minorEastAsia" w:hAnsiTheme="minorEastAsia" w:hint="eastAsia"/>
                          <w:color w:val="FF0000"/>
                        </w:rPr>
                        <w:t>長者人數持續上升會增加對各項安老及醫療服務的需求，增加公共財政的支出，長遠對香港的公共財政造成負擔。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F2FD6" w14:textId="0DB589FD" w:rsidR="002730A0" w:rsidRPr="00E831BD" w:rsidRDefault="002730A0" w:rsidP="00433257">
      <w:pPr>
        <w:rPr>
          <w:rFonts w:ascii="Times New Roman" w:hAnsi="Times New Roman" w:cs="Times New Roman"/>
        </w:rPr>
      </w:pPr>
    </w:p>
    <w:p w14:paraId="0E7B210D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24AFB063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030E9671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61AE23AC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709B6748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14D63849" w14:textId="5C5F9525" w:rsidR="00AA6115" w:rsidRDefault="00AA6115" w:rsidP="00433257">
      <w:pPr>
        <w:rPr>
          <w:rFonts w:ascii="Times New Roman" w:hAnsi="Times New Roman" w:cs="Times New Roman"/>
        </w:rPr>
      </w:pPr>
    </w:p>
    <w:p w14:paraId="59E98EF9" w14:textId="74712BF2" w:rsidR="00D5334C" w:rsidRDefault="00D5334C" w:rsidP="00433257">
      <w:pPr>
        <w:rPr>
          <w:rFonts w:ascii="Times New Roman" w:hAnsi="Times New Roman" w:cs="Times New Roman"/>
        </w:rPr>
      </w:pPr>
    </w:p>
    <w:p w14:paraId="34AFE1FE" w14:textId="7A53E5D0" w:rsidR="000A2B80" w:rsidRDefault="000A2B80" w:rsidP="00433257">
      <w:pPr>
        <w:rPr>
          <w:rFonts w:ascii="Times New Roman" w:hAnsi="Times New Roman" w:cs="Times New Roman"/>
        </w:rPr>
      </w:pPr>
    </w:p>
    <w:p w14:paraId="7FA455A5" w14:textId="181303A5" w:rsidR="000A2B80" w:rsidRDefault="000A2B80" w:rsidP="00433257">
      <w:pPr>
        <w:rPr>
          <w:rFonts w:ascii="Times New Roman" w:hAnsi="Times New Roman" w:cs="Times New Roman"/>
        </w:rPr>
      </w:pPr>
    </w:p>
    <w:p w14:paraId="2C7F8744" w14:textId="30A57F86" w:rsidR="000A2B80" w:rsidRDefault="000A2B80" w:rsidP="00433257">
      <w:pPr>
        <w:rPr>
          <w:rFonts w:ascii="Times New Roman" w:hAnsi="Times New Roman" w:cs="Times New Roman"/>
        </w:rPr>
      </w:pPr>
    </w:p>
    <w:p w14:paraId="5819FB30" w14:textId="3FEB0B2F" w:rsidR="000A2B80" w:rsidRDefault="000A2B80" w:rsidP="00433257">
      <w:pPr>
        <w:rPr>
          <w:rFonts w:ascii="Times New Roman" w:hAnsi="Times New Roman" w:cs="Times New Roman"/>
        </w:rPr>
      </w:pPr>
    </w:p>
    <w:p w14:paraId="3718E94F" w14:textId="77777777" w:rsidR="000D6BDC" w:rsidRDefault="000D6BDC" w:rsidP="00433257">
      <w:pPr>
        <w:rPr>
          <w:rFonts w:ascii="Times New Roman" w:hAnsi="Times New Roman" w:cs="Times New Roman"/>
        </w:rPr>
      </w:pPr>
    </w:p>
    <w:p w14:paraId="0DC1A492" w14:textId="05AFDB3A" w:rsidR="000A2B80" w:rsidRDefault="000A2B80" w:rsidP="00433257">
      <w:pPr>
        <w:rPr>
          <w:rFonts w:ascii="Times New Roman" w:hAnsi="Times New Roman" w:cs="Times New Roman"/>
        </w:rPr>
      </w:pPr>
    </w:p>
    <w:p w14:paraId="6BFC1AC9" w14:textId="77777777" w:rsidR="000A2B80" w:rsidRPr="00E831BD" w:rsidRDefault="000A2B80" w:rsidP="00433257">
      <w:pPr>
        <w:rPr>
          <w:rFonts w:ascii="Times New Roman" w:hAnsi="Times New Roman" w:cs="Times New Roman"/>
        </w:rPr>
      </w:pPr>
    </w:p>
    <w:p w14:paraId="7939F732" w14:textId="6B920270" w:rsidR="002730A0" w:rsidRPr="00E831BD" w:rsidRDefault="00DE2F84" w:rsidP="00701E6C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0733DD" w:rsidRPr="00E831BD">
        <w:rPr>
          <w:rFonts w:ascii="Times New Roman" w:hAnsi="Times New Roman" w:cs="Times New Roman"/>
        </w:rPr>
        <w:t xml:space="preserve">. </w:t>
      </w:r>
      <w:r w:rsidR="000733DD" w:rsidRPr="00E831BD">
        <w:rPr>
          <w:rFonts w:ascii="Times New Roman" w:eastAsia="新細明體" w:hAnsi="Times New Roman" w:cs="Times New Roman"/>
        </w:rPr>
        <w:t>參考資料三</w:t>
      </w:r>
      <w:r w:rsidR="0035490C">
        <w:rPr>
          <w:rFonts w:ascii="Times New Roman" w:eastAsia="新細明體" w:hAnsi="Times New Roman" w:cs="Times New Roman"/>
        </w:rPr>
        <w:t>和</w:t>
      </w:r>
      <w:r w:rsidR="000733DD" w:rsidRPr="00E831BD">
        <w:rPr>
          <w:rFonts w:ascii="Times New Roman" w:eastAsia="新細明體" w:hAnsi="Times New Roman" w:cs="Times New Roman"/>
        </w:rPr>
        <w:t>資料四，</w:t>
      </w:r>
      <w:r w:rsidR="00AD6287" w:rsidRPr="00AD6287">
        <w:rPr>
          <w:rFonts w:ascii="Times New Roman" w:eastAsia="新細明體" w:hAnsi="Times New Roman" w:cs="Times New Roman" w:hint="eastAsia"/>
        </w:rPr>
        <w:t>以</w:t>
      </w:r>
      <w:r w:rsidR="00B95A6C" w:rsidRPr="00CE1475">
        <w:rPr>
          <w:rFonts w:asciiTheme="minorEastAsia" w:hAnsiTheme="minorEastAsia" w:cs="Times New Roman" w:hint="eastAsia"/>
        </w:rPr>
        <w:t>及</w:t>
      </w:r>
      <w:r w:rsidR="00AD6287" w:rsidRPr="00AD6287">
        <w:rPr>
          <w:rFonts w:asciiTheme="minorEastAsia" w:hAnsiTheme="minorEastAsia" w:cs="Times New Roman" w:hint="eastAsia"/>
        </w:rPr>
        <w:t>從</w:t>
      </w:r>
      <w:r w:rsidR="00DD350E" w:rsidRPr="00E831BD">
        <w:rPr>
          <w:rFonts w:ascii="Times New Roman" w:hAnsi="Times New Roman" w:cs="Times New Roman"/>
        </w:rPr>
        <w:t>網上</w:t>
      </w:r>
      <w:r w:rsidR="00701E6C" w:rsidRPr="00E831BD">
        <w:rPr>
          <w:rFonts w:ascii="Times New Roman" w:hAnsi="Times New Roman" w:cs="Times New Roman"/>
        </w:rPr>
        <w:t>搜</w:t>
      </w:r>
      <w:r w:rsidR="00EE1A4B">
        <w:rPr>
          <w:rFonts w:ascii="Times New Roman" w:eastAsia="新細明體" w:hAnsi="Times New Roman" w:cs="Times New Roman"/>
        </w:rPr>
        <w:t>集</w:t>
      </w:r>
      <w:r w:rsidR="00701E6C" w:rsidRPr="00E831BD">
        <w:rPr>
          <w:rFonts w:ascii="Times New Roman" w:hAnsi="Times New Roman" w:cs="Times New Roman"/>
        </w:rPr>
        <w:t>相關</w:t>
      </w:r>
      <w:r w:rsidR="00DD350E" w:rsidRPr="00E831BD">
        <w:rPr>
          <w:rFonts w:ascii="Times New Roman" w:hAnsi="Times New Roman" w:cs="Times New Roman"/>
        </w:rPr>
        <w:t>資料</w:t>
      </w:r>
      <w:r w:rsidR="00DD350E" w:rsidRPr="00E831BD">
        <w:rPr>
          <w:rFonts w:ascii="Times New Roman" w:eastAsia="新細明體" w:hAnsi="Times New Roman" w:cs="Times New Roman"/>
        </w:rPr>
        <w:t>，</w:t>
      </w:r>
      <w:r w:rsidR="00DD350E" w:rsidRPr="00E831BD">
        <w:rPr>
          <w:rFonts w:ascii="Times New Roman" w:hAnsi="Times New Roman" w:cs="Times New Roman"/>
        </w:rPr>
        <w:t>建議一</w:t>
      </w:r>
      <w:r w:rsidR="000D68A1" w:rsidRPr="00E831BD">
        <w:rPr>
          <w:rFonts w:ascii="Times New Roman" w:eastAsia="新細明體" w:hAnsi="Times New Roman" w:cs="Times New Roman"/>
        </w:rPr>
        <w:t>項</w:t>
      </w:r>
      <w:r w:rsidR="0035490C">
        <w:rPr>
          <w:rFonts w:ascii="Times New Roman" w:eastAsia="新細明體" w:hAnsi="Times New Roman" w:cs="Times New Roman"/>
        </w:rPr>
        <w:t>有助</w:t>
      </w:r>
      <w:r w:rsidR="00EE1A4B" w:rsidRPr="00E831BD">
        <w:rPr>
          <w:rFonts w:ascii="Times New Roman" w:hAnsi="Times New Roman" w:cs="Times New Roman"/>
        </w:rPr>
        <w:t>改善</w:t>
      </w:r>
      <w:r w:rsidR="00EE1A4B" w:rsidRPr="00E831BD">
        <w:rPr>
          <w:rFonts w:ascii="Times New Roman" w:eastAsia="新細明體" w:hAnsi="Times New Roman" w:cs="Times New Roman"/>
        </w:rPr>
        <w:t>因</w:t>
      </w:r>
      <w:r w:rsidR="00EE1A4B" w:rsidRPr="00E831BD">
        <w:rPr>
          <w:rFonts w:ascii="Times New Roman" w:hAnsi="Times New Roman" w:cs="Times New Roman"/>
        </w:rPr>
        <w:t>長遠</w:t>
      </w:r>
      <w:r w:rsidR="00EE1A4B" w:rsidRPr="00E831BD">
        <w:rPr>
          <w:rFonts w:ascii="Times New Roman" w:eastAsia="新細明體" w:hAnsi="Times New Roman" w:cs="Times New Roman"/>
        </w:rPr>
        <w:t>人口趨勢改變</w:t>
      </w:r>
      <w:r w:rsidR="0035490C">
        <w:rPr>
          <w:rFonts w:ascii="Times New Roman" w:eastAsia="新細明體" w:hAnsi="Times New Roman" w:cs="Times New Roman"/>
        </w:rPr>
        <w:t>而</w:t>
      </w:r>
      <w:r w:rsidR="0035490C">
        <w:rPr>
          <w:rFonts w:ascii="Times New Roman" w:hAnsi="Times New Roman" w:cs="Times New Roman"/>
        </w:rPr>
        <w:t>帶來</w:t>
      </w:r>
      <w:r w:rsidR="00EE1A4B" w:rsidRPr="00E831BD">
        <w:rPr>
          <w:rFonts w:ascii="Times New Roman" w:hAnsi="Times New Roman" w:cs="Times New Roman"/>
        </w:rPr>
        <w:t>經濟影響</w:t>
      </w:r>
      <w:r w:rsidR="0035490C">
        <w:rPr>
          <w:rFonts w:ascii="Times New Roman" w:hAnsi="Times New Roman" w:cs="Times New Roman"/>
        </w:rPr>
        <w:t>的</w:t>
      </w:r>
      <w:r w:rsidR="00DD350E" w:rsidRPr="00E831BD">
        <w:rPr>
          <w:rFonts w:ascii="Times New Roman" w:eastAsia="新細明體" w:hAnsi="Times New Roman" w:cs="Times New Roman"/>
        </w:rPr>
        <w:t>政策</w:t>
      </w:r>
      <w:r w:rsidR="00DD350E" w:rsidRPr="00E831BD">
        <w:rPr>
          <w:rFonts w:ascii="Times New Roman" w:hAnsi="Times New Roman" w:cs="Times New Roman"/>
        </w:rPr>
        <w:t>措施</w:t>
      </w:r>
      <w:r w:rsidR="00DD350E" w:rsidRPr="00E831BD">
        <w:rPr>
          <w:rFonts w:ascii="Times New Roman" w:eastAsia="新細明體" w:hAnsi="Times New Roman" w:cs="Times New Roman"/>
        </w:rPr>
        <w:t>，</w:t>
      </w:r>
      <w:r w:rsidR="0035490C">
        <w:rPr>
          <w:rFonts w:ascii="Times New Roman" w:eastAsia="新細明體" w:hAnsi="Times New Roman" w:cs="Times New Roman"/>
        </w:rPr>
        <w:t>並加以</w:t>
      </w:r>
      <w:r w:rsidR="00DD350E" w:rsidRPr="00E831BD">
        <w:rPr>
          <w:rFonts w:ascii="Times New Roman" w:eastAsia="新細明體" w:hAnsi="Times New Roman" w:cs="Times New Roman"/>
        </w:rPr>
        <w:t>解釋</w:t>
      </w:r>
      <w:r w:rsidR="00DD350E" w:rsidRPr="00E831BD">
        <w:rPr>
          <w:rFonts w:ascii="Times New Roman" w:hAnsi="Times New Roman" w:cs="Times New Roman"/>
        </w:rPr>
        <w:t>。</w:t>
      </w:r>
    </w:p>
    <w:p w14:paraId="3FCD3F96" w14:textId="3B0631E7" w:rsidR="000733DD" w:rsidRPr="00E831BD" w:rsidRDefault="001F1C7E" w:rsidP="000733DD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76CBF" wp14:editId="09C636F6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478780" cy="2694709"/>
                <wp:effectExtent l="0" t="0" r="2667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269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D18FB" w14:textId="1F3A64DC" w:rsidR="0035490C" w:rsidRDefault="0035490C" w:rsidP="0035490C">
                            <w:pPr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可從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以下方向思考相關的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政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策措施，並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解釋該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政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策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措施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可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能達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到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的成效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：</w:t>
                            </w:r>
                          </w:p>
                          <w:p w14:paraId="02584A57" w14:textId="77777777" w:rsidR="0035490C" w:rsidRPr="0035490C" w:rsidRDefault="0073693A" w:rsidP="0035490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35490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鼓勵生育</w:t>
                            </w:r>
                          </w:p>
                          <w:p w14:paraId="14AC9687" w14:textId="13EDBF3C" w:rsidR="0035490C" w:rsidRDefault="0073693A" w:rsidP="0035490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35490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吸引外地人才</w:t>
                            </w:r>
                            <w:r w:rsidR="0035490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來</w:t>
                            </w:r>
                            <w:r w:rsidR="0035490C">
                              <w:rPr>
                                <w:rFonts w:asciiTheme="minorEastAsia" w:hAnsiTheme="minorEastAsia"/>
                                <w:color w:val="FF0000"/>
                              </w:rPr>
                              <w:t>港</w:t>
                            </w:r>
                            <w:r w:rsidR="0035490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發</w:t>
                            </w:r>
                            <w:r w:rsidR="0035490C">
                              <w:rPr>
                                <w:rFonts w:asciiTheme="minorEastAsia" w:hAnsiTheme="minorEastAsia"/>
                                <w:color w:val="FF0000"/>
                              </w:rPr>
                              <w:t>展</w:t>
                            </w:r>
                          </w:p>
                          <w:p w14:paraId="6AA510BC" w14:textId="5617DCAC" w:rsidR="0035490C" w:rsidRDefault="0035490C" w:rsidP="0035490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為</w:t>
                            </w:r>
                            <w:r w:rsidR="0073693A" w:rsidRPr="0035490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本地人才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提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供更多</w:t>
                            </w:r>
                            <w:r w:rsidR="0073693A" w:rsidRPr="0035490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留港發展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的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機會</w:t>
                            </w:r>
                          </w:p>
                          <w:p w14:paraId="3F3EEDA4" w14:textId="3669C789" w:rsidR="000733DD" w:rsidRPr="0035490C" w:rsidRDefault="00B2557B" w:rsidP="0035490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延長退休年齡等措施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6CBF" id="Text Box 8" o:spid="_x0000_s1034" type="#_x0000_t202" style="position:absolute;margin-left:0;margin-top:11.4pt;width:431.4pt;height:212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" fillcolor="white [3201]" strokeweight=".5pt">
                <v:textbox>
                  <w:txbxContent>
                    <w:p w14:paraId="314D18FB" w14:textId="1F3A64DC" w:rsidR="0035490C" w:rsidRDefault="0035490C" w:rsidP="0035490C">
                      <w:pPr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可從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以下方向思考相關的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政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策措施，並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解釋該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政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策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措施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可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能達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到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的成效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：</w:t>
                      </w:r>
                    </w:p>
                    <w:p w14:paraId="02584A57" w14:textId="77777777" w:rsidR="0035490C" w:rsidRPr="0035490C" w:rsidRDefault="0073693A" w:rsidP="00354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35490C">
                        <w:rPr>
                          <w:rFonts w:asciiTheme="minorEastAsia" w:hAnsiTheme="minorEastAsia" w:hint="eastAsia"/>
                          <w:color w:val="FF0000"/>
                        </w:rPr>
                        <w:t>鼓勵生育</w:t>
                      </w:r>
                    </w:p>
                    <w:p w14:paraId="14AC9687" w14:textId="13EDBF3C" w:rsidR="0035490C" w:rsidRDefault="0073693A" w:rsidP="00354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35490C">
                        <w:rPr>
                          <w:rFonts w:asciiTheme="minorEastAsia" w:hAnsiTheme="minorEastAsia" w:hint="eastAsia"/>
                          <w:color w:val="FF0000"/>
                        </w:rPr>
                        <w:t>吸引外地人才</w:t>
                      </w:r>
                      <w:r w:rsidR="0035490C">
                        <w:rPr>
                          <w:rFonts w:asciiTheme="minorEastAsia" w:hAnsiTheme="minorEastAsia" w:hint="eastAsia"/>
                          <w:color w:val="FF0000"/>
                        </w:rPr>
                        <w:t>來</w:t>
                      </w:r>
                      <w:r w:rsidR="0035490C">
                        <w:rPr>
                          <w:rFonts w:asciiTheme="minorEastAsia" w:hAnsiTheme="minorEastAsia"/>
                          <w:color w:val="FF0000"/>
                        </w:rPr>
                        <w:t>港</w:t>
                      </w:r>
                      <w:r w:rsidR="0035490C">
                        <w:rPr>
                          <w:rFonts w:asciiTheme="minorEastAsia" w:hAnsiTheme="minorEastAsia" w:hint="eastAsia"/>
                          <w:color w:val="FF0000"/>
                        </w:rPr>
                        <w:t>發</w:t>
                      </w:r>
                      <w:r w:rsidR="0035490C">
                        <w:rPr>
                          <w:rFonts w:asciiTheme="minorEastAsia" w:hAnsiTheme="minorEastAsia"/>
                          <w:color w:val="FF0000"/>
                        </w:rPr>
                        <w:t>展</w:t>
                      </w:r>
                    </w:p>
                    <w:p w14:paraId="6AA510BC" w14:textId="5617DCAC" w:rsidR="0035490C" w:rsidRDefault="0035490C" w:rsidP="00354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為</w:t>
                      </w:r>
                      <w:r w:rsidR="0073693A" w:rsidRPr="0035490C">
                        <w:rPr>
                          <w:rFonts w:asciiTheme="minorEastAsia" w:hAnsiTheme="minorEastAsia" w:hint="eastAsia"/>
                          <w:color w:val="FF0000"/>
                        </w:rPr>
                        <w:t>本地人才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提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供更多</w:t>
                      </w:r>
                      <w:r w:rsidR="0073693A" w:rsidRPr="0035490C">
                        <w:rPr>
                          <w:rFonts w:asciiTheme="minorEastAsia" w:hAnsiTheme="minorEastAsia" w:hint="eastAsia"/>
                          <w:color w:val="FF0000"/>
                        </w:rPr>
                        <w:t>留港發展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的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機會</w:t>
                      </w:r>
                    </w:p>
                    <w:p w14:paraId="3F3EEDA4" w14:textId="3669C789" w:rsidR="000733DD" w:rsidRPr="0035490C" w:rsidRDefault="00B2557B" w:rsidP="00354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延長退休年齡等措施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D323D" w14:textId="27AD363B" w:rsidR="000733DD" w:rsidRPr="00E831BD" w:rsidRDefault="000733DD" w:rsidP="000733DD">
      <w:pPr>
        <w:rPr>
          <w:rFonts w:ascii="Times New Roman" w:hAnsi="Times New Roman" w:cs="Times New Roman"/>
        </w:rPr>
      </w:pPr>
    </w:p>
    <w:p w14:paraId="554D1258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08C59F0D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20736A79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06C87901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53D6D50F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73B8750A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066F039C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6BEA3EA0" w14:textId="77777777" w:rsidR="000733DD" w:rsidRPr="00E831BD" w:rsidRDefault="000733DD" w:rsidP="00433257">
      <w:pPr>
        <w:rPr>
          <w:rFonts w:ascii="Times New Roman" w:hAnsi="Times New Roman" w:cs="Times New Roman"/>
        </w:rPr>
      </w:pPr>
    </w:p>
    <w:p w14:paraId="147180DB" w14:textId="77777777" w:rsidR="000733DD" w:rsidRPr="00E831BD" w:rsidRDefault="000733DD" w:rsidP="00433257">
      <w:pPr>
        <w:rPr>
          <w:rFonts w:ascii="Times New Roman" w:hAnsi="Times New Roman" w:cs="Times New Roman"/>
        </w:rPr>
      </w:pPr>
    </w:p>
    <w:p w14:paraId="3C7C7979" w14:textId="594EAC6C" w:rsidR="00D5334C" w:rsidRPr="000A2B80" w:rsidRDefault="00D5334C" w:rsidP="00433257">
      <w:pPr>
        <w:rPr>
          <w:rFonts w:ascii="Times New Roman" w:hAnsi="Times New Roman" w:cs="Times New Roman"/>
        </w:rPr>
      </w:pPr>
    </w:p>
    <w:p w14:paraId="0F5A47C6" w14:textId="5D98B41F" w:rsidR="00D5334C" w:rsidRDefault="00D5334C" w:rsidP="00433257">
      <w:pPr>
        <w:rPr>
          <w:rFonts w:ascii="Times New Roman" w:hAnsi="Times New Roman" w:cs="Times New Roman"/>
        </w:rPr>
      </w:pPr>
    </w:p>
    <w:p w14:paraId="4642E067" w14:textId="77777777" w:rsidR="001F1C7E" w:rsidRPr="00E831BD" w:rsidRDefault="001F1C7E" w:rsidP="00433257">
      <w:pPr>
        <w:rPr>
          <w:rFonts w:ascii="Times New Roman" w:hAnsi="Times New Roman" w:cs="Times New Roman"/>
        </w:rPr>
      </w:pPr>
    </w:p>
    <w:p w14:paraId="11856272" w14:textId="0EE15E35" w:rsidR="00F76508" w:rsidRPr="00E831BD" w:rsidRDefault="00DE2F84" w:rsidP="00701E6C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F475B" w:rsidRPr="00E831BD">
        <w:rPr>
          <w:rFonts w:ascii="Times New Roman" w:hAnsi="Times New Roman" w:cs="Times New Roman"/>
        </w:rPr>
        <w:t xml:space="preserve">. </w:t>
      </w:r>
      <w:r w:rsidR="00B177BD">
        <w:rPr>
          <w:rFonts w:ascii="Times New Roman" w:hAnsi="Times New Roman" w:cs="Times New Roman"/>
        </w:rPr>
        <w:t>特區</w:t>
      </w:r>
      <w:r w:rsidR="00CF475B" w:rsidRPr="00E831BD">
        <w:rPr>
          <w:rFonts w:ascii="Times New Roman" w:hAnsi="Times New Roman" w:cs="Times New Roman"/>
        </w:rPr>
        <w:t>政府一直恪守審慎理財、量入為出的公共理財原則。</w:t>
      </w:r>
      <w:r w:rsidR="00B177BD">
        <w:rPr>
          <w:rFonts w:ascii="Times New Roman" w:hAnsi="Times New Roman" w:cs="Times New Roman"/>
        </w:rPr>
        <w:t>你認為</w:t>
      </w:r>
      <w:r w:rsidR="00CF475B" w:rsidRPr="00E831BD">
        <w:rPr>
          <w:rFonts w:ascii="Times New Roman" w:hAnsi="Times New Roman" w:cs="Times New Roman"/>
        </w:rPr>
        <w:t>穩健的公共財政如何有助</w:t>
      </w:r>
      <w:r w:rsidR="005460D7" w:rsidRPr="00E831BD">
        <w:rPr>
          <w:rFonts w:ascii="Times New Roman" w:hAnsi="Times New Roman" w:cs="Times New Roman"/>
        </w:rPr>
        <w:t>香港</w:t>
      </w:r>
      <w:r w:rsidR="00CF475B" w:rsidRPr="00E831BD">
        <w:rPr>
          <w:rFonts w:ascii="Times New Roman" w:hAnsi="Times New Roman" w:cs="Times New Roman"/>
        </w:rPr>
        <w:t>長遠發展？</w:t>
      </w:r>
      <w:r w:rsidR="00F97AA5" w:rsidRPr="00E831BD">
        <w:rPr>
          <w:rFonts w:ascii="Times New Roman" w:hAnsi="Times New Roman" w:cs="Times New Roman"/>
        </w:rPr>
        <w:t>試</w:t>
      </w:r>
      <w:r w:rsidR="00B177BD">
        <w:rPr>
          <w:rFonts w:ascii="Times New Roman" w:hAnsi="Times New Roman" w:cs="Times New Roman"/>
        </w:rPr>
        <w:t>說明</w:t>
      </w:r>
      <w:r w:rsidR="00F97AA5" w:rsidRPr="00E831BD">
        <w:rPr>
          <w:rFonts w:ascii="Times New Roman" w:hAnsi="Times New Roman" w:cs="Times New Roman"/>
        </w:rPr>
        <w:t>你的</w:t>
      </w:r>
      <w:r w:rsidR="00B177BD">
        <w:rPr>
          <w:rFonts w:ascii="Times New Roman" w:hAnsi="Times New Roman" w:cs="Times New Roman"/>
        </w:rPr>
        <w:t>意見</w:t>
      </w:r>
      <w:r w:rsidR="00F97AA5" w:rsidRPr="00E831BD">
        <w:rPr>
          <w:rFonts w:ascii="Times New Roman" w:hAnsi="Times New Roman" w:cs="Times New Roman"/>
        </w:rPr>
        <w:t>。</w:t>
      </w:r>
    </w:p>
    <w:p w14:paraId="451E6344" w14:textId="77777777" w:rsidR="00CF475B" w:rsidRPr="00E831BD" w:rsidRDefault="0028486E" w:rsidP="00CF475B">
      <w:pPr>
        <w:rPr>
          <w:rFonts w:ascii="Times New Roman" w:eastAsia="新細明體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761CD" wp14:editId="29513F67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471160" cy="345186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345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4C49B" w14:textId="366CFA47" w:rsidR="00615E2A" w:rsidRDefault="00CE1475" w:rsidP="00615E2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FB1CE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學生按其意見回應。</w:t>
                            </w:r>
                          </w:p>
                          <w:p w14:paraId="0DCA443F" w14:textId="37D62A75" w:rsidR="00152CC1" w:rsidRDefault="00152CC1" w:rsidP="00615E2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2E27A1F2" w14:textId="49A89613" w:rsidR="00152CC1" w:rsidRDefault="00152CC1" w:rsidP="00615E2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152CC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可從以下方向思考：</w:t>
                            </w:r>
                          </w:p>
                          <w:p w14:paraId="732B4F3C" w14:textId="77777777" w:rsidR="00B70DDC" w:rsidRDefault="006C6BB7" w:rsidP="00805DE2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C6BB7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根據</w:t>
                            </w:r>
                            <w:r w:rsidR="00CB3464" w:rsidRPr="00CB3464">
                              <w:rPr>
                                <w:rFonts w:asciiTheme="minorEastAsia" w:hAnsiTheme="minorEastAsia"/>
                                <w:color w:val="FF0000"/>
                              </w:rPr>
                              <w:t>《基本法》</w:t>
                            </w:r>
                            <w:r w:rsidRPr="006C6BB7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第一百零七條，香港特別行政區的財政預算以量入為出為原則，力求收支平衡，避免赤字，並與本地生產總值的增長率相適應。</w:t>
                            </w:r>
                          </w:p>
                          <w:p w14:paraId="639232EA" w14:textId="2FC9FE3E" w:rsidR="00152CC1" w:rsidRDefault="00805DE2" w:rsidP="00805DE2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05DE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由於政府整體財政穩健，政府有能力按社會及經濟長遠發展的需要，調撥資源進行各項計劃。例如：</w:t>
                            </w:r>
                          </w:p>
                          <w:p w14:paraId="247B7C6A" w14:textId="1EED5477" w:rsidR="00CB3464" w:rsidRDefault="00805DE2" w:rsidP="00805DE2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05DE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基礎建設；</w:t>
                            </w:r>
                          </w:p>
                          <w:p w14:paraId="26241863" w14:textId="0240EB31" w:rsidR="00805DE2" w:rsidRDefault="00805DE2" w:rsidP="00805DE2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05DE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社會福利及醫療保障；及</w:t>
                            </w:r>
                          </w:p>
                          <w:p w14:paraId="7A905B26" w14:textId="3F93E73E" w:rsidR="00CB3464" w:rsidRPr="00152CC1" w:rsidRDefault="00CB3464" w:rsidP="00805DE2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CB3464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推廣創新及科技等。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61CD" id="Text Box 5" o:spid="_x0000_s1035" type="#_x0000_t202" style="position:absolute;margin-left:0;margin-top:12pt;width:430.8pt;height:271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" fillcolor="white [3201]" strokeweight=".5pt">
                <v:textbox>
                  <w:txbxContent>
                    <w:p w14:paraId="73D4C49B" w14:textId="366CFA47" w:rsidR="00615E2A" w:rsidRDefault="00CE1475" w:rsidP="00615E2A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FB1CEA">
                        <w:rPr>
                          <w:rFonts w:asciiTheme="minorEastAsia" w:hAnsiTheme="minorEastAsia" w:hint="eastAsia"/>
                          <w:color w:val="FF0000"/>
                        </w:rPr>
                        <w:t>學生按其意見回應。</w:t>
                      </w:r>
                    </w:p>
                    <w:p w14:paraId="0DCA443F" w14:textId="37D62A75" w:rsidR="00152CC1" w:rsidRDefault="00152CC1" w:rsidP="00615E2A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2E27A1F2" w14:textId="49A89613" w:rsidR="00152CC1" w:rsidRDefault="00152CC1" w:rsidP="00615E2A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152CC1">
                        <w:rPr>
                          <w:rFonts w:asciiTheme="minorEastAsia" w:hAnsiTheme="minorEastAsia" w:hint="eastAsia"/>
                          <w:color w:val="FF0000"/>
                        </w:rPr>
                        <w:t>可從以下方向思考：</w:t>
                      </w:r>
                    </w:p>
                    <w:p w14:paraId="732B4F3C" w14:textId="77777777" w:rsidR="00B70DDC" w:rsidRDefault="006C6BB7" w:rsidP="00805DE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C6BB7">
                        <w:rPr>
                          <w:rFonts w:asciiTheme="minorEastAsia" w:hAnsiTheme="minorEastAsia" w:hint="eastAsia"/>
                          <w:color w:val="FF0000"/>
                        </w:rPr>
                        <w:t>根據</w:t>
                      </w:r>
                      <w:r w:rsidR="00CB3464" w:rsidRPr="00CB3464">
                        <w:rPr>
                          <w:rFonts w:asciiTheme="minorEastAsia" w:hAnsiTheme="minorEastAsia"/>
                          <w:color w:val="FF0000"/>
                        </w:rPr>
                        <w:t>《基本法》</w:t>
                      </w:r>
                      <w:r w:rsidRPr="006C6BB7">
                        <w:rPr>
                          <w:rFonts w:asciiTheme="minorEastAsia" w:hAnsiTheme="minorEastAsia" w:hint="eastAsia"/>
                          <w:color w:val="FF0000"/>
                        </w:rPr>
                        <w:t>第一百零七條，香港特別行政區的財政預算以量入為出為原則，力求收支平衡，避免赤字，並與本地生產總值的增長率相適應。</w:t>
                      </w:r>
                    </w:p>
                    <w:p w14:paraId="639232EA" w14:textId="2FC9FE3E" w:rsidR="00152CC1" w:rsidRDefault="00805DE2" w:rsidP="00805DE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05DE2">
                        <w:rPr>
                          <w:rFonts w:asciiTheme="minorEastAsia" w:hAnsiTheme="minorEastAsia" w:hint="eastAsia"/>
                          <w:color w:val="FF0000"/>
                        </w:rPr>
                        <w:t>由於政府整體財政穩健，政府有能力按社會及經濟長遠發展的需要，調撥資源進行各項計劃。例如：</w:t>
                      </w:r>
                    </w:p>
                    <w:p w14:paraId="247B7C6A" w14:textId="1EED5477" w:rsidR="00CB3464" w:rsidRDefault="00805DE2" w:rsidP="00805DE2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Chars="0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05DE2">
                        <w:rPr>
                          <w:rFonts w:asciiTheme="minorEastAsia" w:hAnsiTheme="minorEastAsia" w:hint="eastAsia"/>
                          <w:color w:val="FF0000"/>
                        </w:rPr>
                        <w:t>基礎建設；</w:t>
                      </w:r>
                    </w:p>
                    <w:p w14:paraId="26241863" w14:textId="0240EB31" w:rsidR="00805DE2" w:rsidRDefault="00805DE2" w:rsidP="00805DE2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Chars="0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05DE2">
                        <w:rPr>
                          <w:rFonts w:asciiTheme="minorEastAsia" w:hAnsiTheme="minorEastAsia" w:hint="eastAsia"/>
                          <w:color w:val="FF0000"/>
                        </w:rPr>
                        <w:t>社會福利及醫療保障；及</w:t>
                      </w:r>
                    </w:p>
                    <w:p w14:paraId="7A905B26" w14:textId="3F93E73E" w:rsidR="00CB3464" w:rsidRPr="00152CC1" w:rsidRDefault="00CB3464" w:rsidP="00805DE2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Chars="0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CB3464">
                        <w:rPr>
                          <w:rFonts w:asciiTheme="minorEastAsia" w:hAnsiTheme="minorEastAsia" w:hint="eastAsia"/>
                          <w:color w:val="FF0000"/>
                        </w:rPr>
                        <w:t>推廣創新及科技等。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2F5DB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6D2E9757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2F70DB12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1790FBC3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3017207D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02461B2E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568D56ED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074CAA2E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2329564B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03E03BD7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4C644A3F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3E8133FF" w14:textId="35539D62" w:rsidR="00CF475B" w:rsidRDefault="00CF475B" w:rsidP="00CF475B">
      <w:pPr>
        <w:rPr>
          <w:rFonts w:ascii="Times New Roman" w:hAnsi="Times New Roman" w:cs="Times New Roman"/>
        </w:rPr>
      </w:pPr>
    </w:p>
    <w:p w14:paraId="63C98627" w14:textId="2C2F2F5D" w:rsidR="000C2687" w:rsidRDefault="000C2687" w:rsidP="00CF475B">
      <w:pPr>
        <w:rPr>
          <w:rFonts w:ascii="Times New Roman" w:hAnsi="Times New Roman" w:cs="Times New Roman"/>
        </w:rPr>
      </w:pPr>
    </w:p>
    <w:p w14:paraId="2938D80E" w14:textId="2759D12C" w:rsidR="000C2687" w:rsidRDefault="000C2687" w:rsidP="00CF475B">
      <w:pPr>
        <w:rPr>
          <w:rFonts w:ascii="Times New Roman" w:hAnsi="Times New Roman" w:cs="Times New Roman"/>
        </w:rPr>
      </w:pPr>
    </w:p>
    <w:p w14:paraId="3BBA4F64" w14:textId="66AC05DE" w:rsidR="000C2687" w:rsidRDefault="000C2687" w:rsidP="00CF475B">
      <w:pPr>
        <w:rPr>
          <w:rFonts w:ascii="Times New Roman" w:hAnsi="Times New Roman" w:cs="Times New Roman"/>
        </w:rPr>
      </w:pPr>
    </w:p>
    <w:p w14:paraId="7069F5DB" w14:textId="18B0344E" w:rsidR="000C2687" w:rsidRDefault="000C2687" w:rsidP="00CF475B">
      <w:pPr>
        <w:rPr>
          <w:rFonts w:ascii="Times New Roman" w:hAnsi="Times New Roman" w:cs="Times New Roman"/>
        </w:rPr>
      </w:pPr>
    </w:p>
    <w:p w14:paraId="22C42A57" w14:textId="49EBCEA1" w:rsidR="000C2687" w:rsidRPr="005C3DAA" w:rsidRDefault="005C3DAA" w:rsidP="005C3DAA">
      <w:pPr>
        <w:jc w:val="center"/>
        <w:rPr>
          <w:rFonts w:ascii="Times New Roman" w:hAnsi="Times New Roman" w:cs="Times New Roman"/>
        </w:rPr>
      </w:pPr>
      <w:r w:rsidRPr="005C3DAA"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 xml:space="preserve">- </w:t>
      </w:r>
      <w:r w:rsidR="000C2687" w:rsidRPr="005C3DAA">
        <w:rPr>
          <w:rFonts w:ascii="Times New Roman" w:hAnsi="Times New Roman" w:cs="Times New Roman" w:hint="eastAsia"/>
        </w:rPr>
        <w:t>完</w:t>
      </w:r>
      <w:r>
        <w:rPr>
          <w:rFonts w:ascii="Times New Roman" w:eastAsia="DengXian" w:hAnsi="Times New Roman" w:cs="Times New Roman" w:hint="eastAsia"/>
          <w:lang w:eastAsia="zh-CN"/>
        </w:rPr>
        <w:t xml:space="preserve"> </w:t>
      </w:r>
      <w:r w:rsidR="00DB2A75" w:rsidRPr="005C3DAA">
        <w:rPr>
          <w:rFonts w:ascii="Times New Roman" w:hAnsi="Times New Roman" w:cs="Times New Roman" w:hint="eastAsia"/>
        </w:rPr>
        <w:t>--</w:t>
      </w:r>
    </w:p>
    <w:sectPr w:rsidR="000C2687" w:rsidRPr="005C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DD08" w14:textId="77777777" w:rsidR="00476757" w:rsidRDefault="00476757" w:rsidP="00EF07E8">
      <w:r>
        <w:separator/>
      </w:r>
    </w:p>
  </w:endnote>
  <w:endnote w:type="continuationSeparator" w:id="0">
    <w:p w14:paraId="662CBEEB" w14:textId="77777777" w:rsidR="00476757" w:rsidRDefault="00476757" w:rsidP="00EF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DCF9" w14:textId="77777777" w:rsidR="00F7448D" w:rsidRDefault="00F744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73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2E786" w14:textId="7606437F" w:rsidR="00221244" w:rsidRDefault="0022124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4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D8D4CC" w14:textId="77777777" w:rsidR="00221244" w:rsidRDefault="0022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629A" w14:textId="77777777" w:rsidR="00F7448D" w:rsidRDefault="00F744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CB93" w14:textId="77777777" w:rsidR="00476757" w:rsidRDefault="00476757" w:rsidP="00EF07E8">
      <w:r>
        <w:separator/>
      </w:r>
    </w:p>
  </w:footnote>
  <w:footnote w:type="continuationSeparator" w:id="0">
    <w:p w14:paraId="4A8C31D9" w14:textId="77777777" w:rsidR="00476757" w:rsidRDefault="00476757" w:rsidP="00EF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8D0F" w14:textId="77777777" w:rsidR="00F7448D" w:rsidRDefault="00F744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CFAA" w14:textId="4737C850" w:rsidR="00E22A52" w:rsidRPr="00292A91" w:rsidRDefault="00E22A52" w:rsidP="00E22A52">
    <w:pPr>
      <w:pStyle w:val="a3"/>
      <w:jc w:val="right"/>
      <w:rPr>
        <w:b/>
        <w:sz w:val="24"/>
        <w:szCs w:val="24"/>
        <w:u w:val="thick"/>
      </w:rPr>
    </w:pPr>
    <w:r w:rsidRPr="00292A91">
      <w:rPr>
        <w:rFonts w:ascii="DengXian" w:eastAsia="新細明體" w:hint="eastAsia"/>
        <w:b/>
        <w:sz w:val="24"/>
        <w:szCs w:val="24"/>
        <w:u w:val="thick"/>
      </w:rPr>
      <w:t>教師版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A448" w14:textId="77777777" w:rsidR="00F7448D" w:rsidRDefault="00F744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B1D"/>
    <w:multiLevelType w:val="hybridMultilevel"/>
    <w:tmpl w:val="AFEC9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F1ACA"/>
    <w:multiLevelType w:val="hybridMultilevel"/>
    <w:tmpl w:val="F0AA6B76"/>
    <w:lvl w:ilvl="0" w:tplc="CE86652E">
      <w:start w:val="1"/>
      <w:numFmt w:val="decimal"/>
      <w:lvlText w:val="%1."/>
      <w:lvlJc w:val="left"/>
      <w:pPr>
        <w:ind w:left="360" w:hanging="360"/>
      </w:pPr>
      <w:rPr>
        <w:rFonts w:ascii="DengXian"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02412"/>
    <w:multiLevelType w:val="hybridMultilevel"/>
    <w:tmpl w:val="7C786550"/>
    <w:lvl w:ilvl="0" w:tplc="BEE60DE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2271D"/>
    <w:multiLevelType w:val="hybridMultilevel"/>
    <w:tmpl w:val="2F8A2820"/>
    <w:lvl w:ilvl="0" w:tplc="F38E4504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774C8"/>
    <w:multiLevelType w:val="hybridMultilevel"/>
    <w:tmpl w:val="BCAC9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B0054"/>
    <w:multiLevelType w:val="hybridMultilevel"/>
    <w:tmpl w:val="72908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110CEC"/>
    <w:multiLevelType w:val="hybridMultilevel"/>
    <w:tmpl w:val="60C82DEA"/>
    <w:lvl w:ilvl="0" w:tplc="A46644A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73E4DFE">
      <w:start w:val="1"/>
      <w:numFmt w:val="bullet"/>
      <w:lvlText w:val=""/>
      <w:lvlJc w:val="left"/>
      <w:pPr>
        <w:ind w:left="737" w:hanging="397"/>
      </w:pPr>
      <w:rPr>
        <w:rFonts w:ascii="Wingdings" w:hAnsi="Wingdings" w:hint="default"/>
        <w:sz w:val="16"/>
        <w:szCs w:val="16"/>
      </w:rPr>
    </w:lvl>
    <w:lvl w:ilvl="2" w:tplc="D304C902">
      <w:start w:val="1"/>
      <w:numFmt w:val="bullet"/>
      <w:lvlText w:val=""/>
      <w:lvlJc w:val="left"/>
      <w:pPr>
        <w:ind w:left="1361" w:hanging="401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FB3A34"/>
    <w:multiLevelType w:val="hybridMultilevel"/>
    <w:tmpl w:val="308CE14E"/>
    <w:lvl w:ilvl="0" w:tplc="2F2AC7E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CE68DF"/>
    <w:multiLevelType w:val="hybridMultilevel"/>
    <w:tmpl w:val="5066B8CE"/>
    <w:lvl w:ilvl="0" w:tplc="4BC64D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17010"/>
    <w:multiLevelType w:val="hybridMultilevel"/>
    <w:tmpl w:val="BE9263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EE2144"/>
    <w:multiLevelType w:val="hybridMultilevel"/>
    <w:tmpl w:val="F89AB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361305"/>
    <w:multiLevelType w:val="hybridMultilevel"/>
    <w:tmpl w:val="513A8044"/>
    <w:lvl w:ilvl="0" w:tplc="ECCAA77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8"/>
    <w:rsid w:val="00004982"/>
    <w:rsid w:val="0001124A"/>
    <w:rsid w:val="00013D3B"/>
    <w:rsid w:val="00046315"/>
    <w:rsid w:val="000472AC"/>
    <w:rsid w:val="00063909"/>
    <w:rsid w:val="000733DD"/>
    <w:rsid w:val="00083742"/>
    <w:rsid w:val="000A2B80"/>
    <w:rsid w:val="000B2D6B"/>
    <w:rsid w:val="000B4A30"/>
    <w:rsid w:val="000C2687"/>
    <w:rsid w:val="000D2826"/>
    <w:rsid w:val="000D68A1"/>
    <w:rsid w:val="000D6BDC"/>
    <w:rsid w:val="000E32A6"/>
    <w:rsid w:val="000F4BDE"/>
    <w:rsid w:val="000F7627"/>
    <w:rsid w:val="001022B9"/>
    <w:rsid w:val="00103A16"/>
    <w:rsid w:val="00104C68"/>
    <w:rsid w:val="00125095"/>
    <w:rsid w:val="00125B57"/>
    <w:rsid w:val="00125E8B"/>
    <w:rsid w:val="0012798E"/>
    <w:rsid w:val="00134215"/>
    <w:rsid w:val="0013792C"/>
    <w:rsid w:val="001379A2"/>
    <w:rsid w:val="00152CC1"/>
    <w:rsid w:val="00155687"/>
    <w:rsid w:val="00183D2B"/>
    <w:rsid w:val="001C5879"/>
    <w:rsid w:val="001F1C7E"/>
    <w:rsid w:val="001F5390"/>
    <w:rsid w:val="00207A95"/>
    <w:rsid w:val="00213116"/>
    <w:rsid w:val="00215CF1"/>
    <w:rsid w:val="00221244"/>
    <w:rsid w:val="00222EFB"/>
    <w:rsid w:val="002730A0"/>
    <w:rsid w:val="002765EE"/>
    <w:rsid w:val="00282CDE"/>
    <w:rsid w:val="0028486E"/>
    <w:rsid w:val="002851A2"/>
    <w:rsid w:val="00285492"/>
    <w:rsid w:val="002929E3"/>
    <w:rsid w:val="00292A91"/>
    <w:rsid w:val="002C19F5"/>
    <w:rsid w:val="002D39D3"/>
    <w:rsid w:val="002F5138"/>
    <w:rsid w:val="003101BA"/>
    <w:rsid w:val="00316AEE"/>
    <w:rsid w:val="003201FF"/>
    <w:rsid w:val="0035490C"/>
    <w:rsid w:val="00382B74"/>
    <w:rsid w:val="003948AC"/>
    <w:rsid w:val="003B4DBF"/>
    <w:rsid w:val="003E0A89"/>
    <w:rsid w:val="003E1EAA"/>
    <w:rsid w:val="003E2309"/>
    <w:rsid w:val="0041653A"/>
    <w:rsid w:val="00433257"/>
    <w:rsid w:val="00433FA9"/>
    <w:rsid w:val="00452113"/>
    <w:rsid w:val="00476757"/>
    <w:rsid w:val="00482388"/>
    <w:rsid w:val="00497C2B"/>
    <w:rsid w:val="004A3CC6"/>
    <w:rsid w:val="004B326A"/>
    <w:rsid w:val="004D3537"/>
    <w:rsid w:val="004D5471"/>
    <w:rsid w:val="004D5525"/>
    <w:rsid w:val="004D7FCB"/>
    <w:rsid w:val="004E3617"/>
    <w:rsid w:val="0053272C"/>
    <w:rsid w:val="005343F4"/>
    <w:rsid w:val="005457C0"/>
    <w:rsid w:val="005460D7"/>
    <w:rsid w:val="0057483A"/>
    <w:rsid w:val="005804E8"/>
    <w:rsid w:val="00580521"/>
    <w:rsid w:val="005933CF"/>
    <w:rsid w:val="005C3DAA"/>
    <w:rsid w:val="005C5386"/>
    <w:rsid w:val="006073BF"/>
    <w:rsid w:val="006155B3"/>
    <w:rsid w:val="00615E2A"/>
    <w:rsid w:val="0062052E"/>
    <w:rsid w:val="00631977"/>
    <w:rsid w:val="00645089"/>
    <w:rsid w:val="006662DE"/>
    <w:rsid w:val="00681A9C"/>
    <w:rsid w:val="006A361E"/>
    <w:rsid w:val="006B22DD"/>
    <w:rsid w:val="006B2F77"/>
    <w:rsid w:val="006B3211"/>
    <w:rsid w:val="006C6BB7"/>
    <w:rsid w:val="00701E6C"/>
    <w:rsid w:val="00702107"/>
    <w:rsid w:val="007063DC"/>
    <w:rsid w:val="0073693A"/>
    <w:rsid w:val="00746FD4"/>
    <w:rsid w:val="00770B3E"/>
    <w:rsid w:val="0077203D"/>
    <w:rsid w:val="0077388C"/>
    <w:rsid w:val="00780FEC"/>
    <w:rsid w:val="00790A02"/>
    <w:rsid w:val="007C10E5"/>
    <w:rsid w:val="007C55B9"/>
    <w:rsid w:val="007D778C"/>
    <w:rsid w:val="007E6F0E"/>
    <w:rsid w:val="00805DE2"/>
    <w:rsid w:val="0081083A"/>
    <w:rsid w:val="0081758C"/>
    <w:rsid w:val="008179EA"/>
    <w:rsid w:val="00842C8B"/>
    <w:rsid w:val="00876EFF"/>
    <w:rsid w:val="008A0862"/>
    <w:rsid w:val="008A4882"/>
    <w:rsid w:val="008C1E67"/>
    <w:rsid w:val="008E3158"/>
    <w:rsid w:val="008E775D"/>
    <w:rsid w:val="00901317"/>
    <w:rsid w:val="00911387"/>
    <w:rsid w:val="0092151B"/>
    <w:rsid w:val="00932286"/>
    <w:rsid w:val="0093314B"/>
    <w:rsid w:val="00943585"/>
    <w:rsid w:val="00966E70"/>
    <w:rsid w:val="0098329B"/>
    <w:rsid w:val="009959B1"/>
    <w:rsid w:val="009D3456"/>
    <w:rsid w:val="009E7A23"/>
    <w:rsid w:val="009F240D"/>
    <w:rsid w:val="00A23496"/>
    <w:rsid w:val="00A26492"/>
    <w:rsid w:val="00A33009"/>
    <w:rsid w:val="00A5299A"/>
    <w:rsid w:val="00A54786"/>
    <w:rsid w:val="00A63218"/>
    <w:rsid w:val="00A63B7C"/>
    <w:rsid w:val="00A65CDE"/>
    <w:rsid w:val="00A86CDA"/>
    <w:rsid w:val="00A87658"/>
    <w:rsid w:val="00A91824"/>
    <w:rsid w:val="00AA6115"/>
    <w:rsid w:val="00AA65CB"/>
    <w:rsid w:val="00AA7336"/>
    <w:rsid w:val="00AC2FCF"/>
    <w:rsid w:val="00AD6287"/>
    <w:rsid w:val="00AE199D"/>
    <w:rsid w:val="00AE5677"/>
    <w:rsid w:val="00AE6B8A"/>
    <w:rsid w:val="00AF7E1F"/>
    <w:rsid w:val="00B03A3D"/>
    <w:rsid w:val="00B177BD"/>
    <w:rsid w:val="00B2557B"/>
    <w:rsid w:val="00B25E92"/>
    <w:rsid w:val="00B35898"/>
    <w:rsid w:val="00B35BCB"/>
    <w:rsid w:val="00B47A52"/>
    <w:rsid w:val="00B70DDC"/>
    <w:rsid w:val="00B752B7"/>
    <w:rsid w:val="00B75A9C"/>
    <w:rsid w:val="00B819A8"/>
    <w:rsid w:val="00B91D43"/>
    <w:rsid w:val="00B95A6C"/>
    <w:rsid w:val="00BE147F"/>
    <w:rsid w:val="00BF5670"/>
    <w:rsid w:val="00BF6F82"/>
    <w:rsid w:val="00C3470C"/>
    <w:rsid w:val="00C46E37"/>
    <w:rsid w:val="00C678E8"/>
    <w:rsid w:val="00C81297"/>
    <w:rsid w:val="00C832E5"/>
    <w:rsid w:val="00CB3464"/>
    <w:rsid w:val="00CB6B70"/>
    <w:rsid w:val="00CD3CE8"/>
    <w:rsid w:val="00CE1475"/>
    <w:rsid w:val="00CF475B"/>
    <w:rsid w:val="00CF6F28"/>
    <w:rsid w:val="00D012A5"/>
    <w:rsid w:val="00D42899"/>
    <w:rsid w:val="00D5334C"/>
    <w:rsid w:val="00D5343D"/>
    <w:rsid w:val="00D74D16"/>
    <w:rsid w:val="00D977FD"/>
    <w:rsid w:val="00DB2A75"/>
    <w:rsid w:val="00DB7CB2"/>
    <w:rsid w:val="00DD22E0"/>
    <w:rsid w:val="00DD350E"/>
    <w:rsid w:val="00DE2F84"/>
    <w:rsid w:val="00DE78A5"/>
    <w:rsid w:val="00DF6B47"/>
    <w:rsid w:val="00E02671"/>
    <w:rsid w:val="00E22245"/>
    <w:rsid w:val="00E22A52"/>
    <w:rsid w:val="00E310FA"/>
    <w:rsid w:val="00E454D9"/>
    <w:rsid w:val="00E7220D"/>
    <w:rsid w:val="00E831BD"/>
    <w:rsid w:val="00EE1A4B"/>
    <w:rsid w:val="00EE7B4C"/>
    <w:rsid w:val="00EF07E8"/>
    <w:rsid w:val="00F1786A"/>
    <w:rsid w:val="00F72967"/>
    <w:rsid w:val="00F7448D"/>
    <w:rsid w:val="00F7465D"/>
    <w:rsid w:val="00F76508"/>
    <w:rsid w:val="00F8000B"/>
    <w:rsid w:val="00F92776"/>
    <w:rsid w:val="00F97AA5"/>
    <w:rsid w:val="00FB18F3"/>
    <w:rsid w:val="00FB1CEA"/>
    <w:rsid w:val="00FB5859"/>
    <w:rsid w:val="00FE32D7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0C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7E8"/>
    <w:rPr>
      <w:sz w:val="20"/>
      <w:szCs w:val="20"/>
    </w:rPr>
  </w:style>
  <w:style w:type="table" w:styleId="a7">
    <w:name w:val="Table Grid"/>
    <w:basedOn w:val="a1"/>
    <w:uiPriority w:val="39"/>
    <w:rsid w:val="00EF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315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832E5"/>
    <w:pPr>
      <w:ind w:leftChars="200" w:left="480"/>
    </w:pPr>
  </w:style>
  <w:style w:type="character" w:styleId="aa">
    <w:name w:val="Emphasis"/>
    <w:basedOn w:val="a0"/>
    <w:uiPriority w:val="20"/>
    <w:qFormat/>
    <w:rsid w:val="00497C2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04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498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65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653A"/>
  </w:style>
  <w:style w:type="character" w:customStyle="1" w:styleId="af">
    <w:name w:val="註解文字 字元"/>
    <w:basedOn w:val="a0"/>
    <w:link w:val="ae"/>
    <w:uiPriority w:val="99"/>
    <w:semiHidden/>
    <w:rsid w:val="0041653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653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1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A44E-6315-4BDB-97C4-E6AA979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2023-12-13T02:19:00Z</dcterms:created>
  <dcterms:modified xsi:type="dcterms:W3CDTF">2023-12-13T02:19:00Z</dcterms:modified>
</cp:coreProperties>
</file>