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6183" w14:textId="77777777" w:rsidR="00CA6ECF" w:rsidRPr="00C72B56" w:rsidRDefault="00CA6ECF" w:rsidP="00CA6ECF">
      <w:pPr>
        <w:adjustRightInd w:val="0"/>
        <w:snapToGrid w:val="0"/>
        <w:jc w:val="center"/>
        <w:rPr>
          <w:rFonts w:ascii="標楷體" w:eastAsia="標楷體" w:hAnsi="標楷體" w:cs="Times New Roman"/>
          <w:b/>
          <w:spacing w:val="20"/>
          <w:sz w:val="30"/>
          <w:szCs w:val="30"/>
          <w:u w:val="thick"/>
          <w:lang w:eastAsia="zh-HK"/>
        </w:rPr>
      </w:pPr>
      <w:bookmarkStart w:id="0" w:name="_GoBack"/>
      <w:bookmarkEnd w:id="0"/>
      <w:r w:rsidRPr="00C72B56">
        <w:rPr>
          <w:rFonts w:ascii="標楷體" w:eastAsia="標楷體" w:hAnsi="標楷體" w:cs="Times New Roman" w:hint="eastAsia"/>
          <w:b/>
          <w:spacing w:val="20"/>
          <w:sz w:val="30"/>
          <w:szCs w:val="30"/>
          <w:u w:val="thick"/>
          <w:lang w:eastAsia="zh-HK"/>
        </w:rPr>
        <w:t xml:space="preserve">高中公民與社會發展科 </w:t>
      </w:r>
    </w:p>
    <w:p w14:paraId="384FC2EB" w14:textId="77777777" w:rsidR="00CA6ECF" w:rsidRPr="00C72B56" w:rsidRDefault="00CA6ECF" w:rsidP="00CA6ECF">
      <w:pPr>
        <w:adjustRightInd w:val="0"/>
        <w:snapToGrid w:val="0"/>
        <w:jc w:val="center"/>
        <w:rPr>
          <w:rFonts w:ascii="標楷體" w:eastAsia="標楷體" w:hAnsi="標楷體" w:cs="Times New Roman"/>
          <w:b/>
          <w:spacing w:val="20"/>
          <w:sz w:val="30"/>
          <w:szCs w:val="30"/>
          <w:u w:val="thick"/>
          <w:lang w:eastAsia="zh-HK"/>
        </w:rPr>
      </w:pPr>
      <w:r w:rsidRPr="00C72B56">
        <w:rPr>
          <w:rFonts w:ascii="標楷體" w:eastAsia="標楷體" w:hAnsi="標楷體" w:cs="Times New Roman" w:hint="eastAsia"/>
          <w:b/>
          <w:spacing w:val="20"/>
          <w:sz w:val="30"/>
          <w:szCs w:val="30"/>
          <w:u w:val="thick"/>
          <w:lang w:eastAsia="zh-HK"/>
        </w:rPr>
        <w:t>內地考察活動工作紙：良</w:t>
      </w:r>
      <w:proofErr w:type="gramStart"/>
      <w:r w:rsidRPr="00C72B56">
        <w:rPr>
          <w:rFonts w:ascii="標楷體" w:eastAsia="標楷體" w:hAnsi="標楷體" w:cs="Times New Roman" w:hint="eastAsia"/>
          <w:b/>
          <w:spacing w:val="20"/>
          <w:sz w:val="30"/>
          <w:szCs w:val="30"/>
          <w:u w:val="thick"/>
          <w:lang w:eastAsia="zh-HK"/>
        </w:rPr>
        <w:t>渚</w:t>
      </w:r>
      <w:proofErr w:type="gramEnd"/>
      <w:r w:rsidRPr="00C72B56">
        <w:rPr>
          <w:rFonts w:ascii="標楷體" w:eastAsia="標楷體" w:hAnsi="標楷體" w:cs="Times New Roman" w:hint="eastAsia"/>
          <w:b/>
          <w:spacing w:val="20"/>
          <w:sz w:val="30"/>
          <w:szCs w:val="30"/>
          <w:u w:val="thick"/>
          <w:lang w:eastAsia="zh-HK"/>
        </w:rPr>
        <w:t>文化遺址</w:t>
      </w:r>
    </w:p>
    <w:p w14:paraId="66F59386" w14:textId="77777777" w:rsidR="00CA6ECF" w:rsidRPr="00F91718" w:rsidRDefault="00CA6ECF" w:rsidP="00CA6ECF">
      <w:pPr>
        <w:adjustRightInd w:val="0"/>
        <w:snapToGrid w:val="0"/>
        <w:jc w:val="center"/>
        <w:rPr>
          <w:rFonts w:asciiTheme="minorEastAsia" w:hAnsiTheme="minorEastAsia" w:cs="Times New Roman"/>
          <w:b/>
          <w:spacing w:val="20"/>
          <w:kern w:val="0"/>
          <w:szCs w:val="24"/>
          <w:u w:val="thick"/>
          <w:shd w:val="clear" w:color="auto" w:fill="FFF2CC" w:themeFill="accent4" w:themeFillTint="33"/>
        </w:rPr>
      </w:pPr>
    </w:p>
    <w:p w14:paraId="762979EE" w14:textId="77777777" w:rsidR="00954601" w:rsidRDefault="00954601" w:rsidP="00954601">
      <w:pPr>
        <w:pStyle w:val="ListParagraph"/>
        <w:numPr>
          <w:ilvl w:val="0"/>
          <w:numId w:val="4"/>
        </w:numPr>
        <w:ind w:leftChars="0"/>
        <w:rPr>
          <w:rFonts w:asciiTheme="minorEastAsia" w:hAnsiTheme="minorEastAsia" w:cs="Times New Roman"/>
          <w:b/>
          <w:spacing w:val="20"/>
          <w:kern w:val="0"/>
          <w:szCs w:val="24"/>
          <w:u w:val="thick"/>
          <w:shd w:val="clear" w:color="auto" w:fill="FFF2CC" w:themeFill="accent4" w:themeFillTint="33"/>
        </w:rPr>
      </w:pPr>
      <w:r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t>考察主題</w:t>
      </w:r>
    </w:p>
    <w:p w14:paraId="3037A223" w14:textId="77777777" w:rsidR="00CA48C9" w:rsidRPr="00CA48C9" w:rsidRDefault="00CA48C9" w:rsidP="00CA48C9">
      <w:pPr>
        <w:rPr>
          <w:rFonts w:asciiTheme="minorEastAsia" w:hAnsiTheme="minorEastAsia" w:cs="Times New Roman"/>
          <w:b/>
          <w:spacing w:val="20"/>
          <w:kern w:val="0"/>
          <w:szCs w:val="24"/>
          <w:u w:val="thick"/>
          <w:shd w:val="clear" w:color="auto" w:fill="FFF2CC" w:themeFill="accent4" w:themeFillTint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91718" w:rsidRPr="00F91718" w14:paraId="39F4809D" w14:textId="77777777" w:rsidTr="00CA6ECF">
        <w:tc>
          <w:tcPr>
            <w:tcW w:w="4868" w:type="dxa"/>
            <w:shd w:val="clear" w:color="auto" w:fill="FBE4D5" w:themeFill="accent2" w:themeFillTint="33"/>
          </w:tcPr>
          <w:p w14:paraId="6153EA29" w14:textId="77777777" w:rsidR="006041CF" w:rsidRPr="00C72B56" w:rsidRDefault="006041CF" w:rsidP="006041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72B56">
              <w:rPr>
                <w:rFonts w:asciiTheme="minorEastAsia" w:hAnsiTheme="minorEastAsia" w:hint="eastAsia"/>
                <w:szCs w:val="24"/>
              </w:rPr>
              <w:t>建議學習重點</w:t>
            </w:r>
          </w:p>
        </w:tc>
        <w:tc>
          <w:tcPr>
            <w:tcW w:w="4868" w:type="dxa"/>
            <w:shd w:val="clear" w:color="auto" w:fill="FBE4D5" w:themeFill="accent2" w:themeFillTint="33"/>
          </w:tcPr>
          <w:p w14:paraId="6B4B11BD" w14:textId="77777777" w:rsidR="006041CF" w:rsidRPr="00F91718" w:rsidRDefault="006041CF" w:rsidP="006041C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>與公民科課程相關的部分</w:t>
            </w:r>
          </w:p>
        </w:tc>
      </w:tr>
      <w:tr w:rsidR="006041CF" w:rsidRPr="00F91718" w14:paraId="6C1079E6" w14:textId="77777777" w:rsidTr="00CA6ECF">
        <w:trPr>
          <w:trHeight w:val="1673"/>
        </w:trPr>
        <w:tc>
          <w:tcPr>
            <w:tcW w:w="4868" w:type="dxa"/>
          </w:tcPr>
          <w:p w14:paraId="73F6D1BC" w14:textId="77777777" w:rsidR="006041CF" w:rsidRPr="00C72B56" w:rsidRDefault="006041CF" w:rsidP="006041CF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72B56">
              <w:rPr>
                <w:rFonts w:asciiTheme="minorEastAsia" w:hAnsiTheme="minorEastAsia" w:hint="eastAsia"/>
                <w:szCs w:val="24"/>
              </w:rPr>
              <w:t>以良渚文化遺址為例，了解淅江省的歷史遺址保育情況</w:t>
            </w:r>
          </w:p>
          <w:p w14:paraId="5ED91D2B" w14:textId="77777777" w:rsidR="00CA6ECF" w:rsidRPr="00C72B56" w:rsidRDefault="00CA6ECF" w:rsidP="00CA6ECF">
            <w:pPr>
              <w:pStyle w:val="ListParagraph"/>
              <w:ind w:leftChars="0"/>
              <w:rPr>
                <w:rFonts w:asciiTheme="minorEastAsia" w:hAnsiTheme="minorEastAsia"/>
                <w:szCs w:val="24"/>
              </w:rPr>
            </w:pPr>
          </w:p>
          <w:p w14:paraId="4A40EED6" w14:textId="77777777" w:rsidR="006041CF" w:rsidRPr="00C72B56" w:rsidRDefault="00CA6ECF" w:rsidP="00CA6ECF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72B56">
              <w:rPr>
                <w:rFonts w:asciiTheme="minorEastAsia" w:hAnsiTheme="minorEastAsia" w:hint="eastAsia"/>
                <w:szCs w:val="24"/>
              </w:rPr>
              <w:t>認識國家五千年前完整的制度系統、社會組織能力、水利工程等中華文明</w:t>
            </w:r>
          </w:p>
          <w:p w14:paraId="38175704" w14:textId="77777777" w:rsidR="00CA6ECF" w:rsidRPr="00C72B56" w:rsidRDefault="00CA6ECF" w:rsidP="00CA6ECF">
            <w:pPr>
              <w:rPr>
                <w:rFonts w:asciiTheme="minorEastAsia" w:hAnsiTheme="minorEastAsia"/>
                <w:szCs w:val="24"/>
              </w:rPr>
            </w:pPr>
          </w:p>
          <w:p w14:paraId="72721508" w14:textId="77777777" w:rsidR="00CA6ECF" w:rsidRPr="00C72B56" w:rsidRDefault="00CA6ECF" w:rsidP="00CA6ECF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C72B56">
              <w:rPr>
                <w:rFonts w:asciiTheme="minorEastAsia" w:hAnsiTheme="minorEastAsia" w:hint="eastAsia"/>
                <w:szCs w:val="24"/>
              </w:rPr>
              <w:t>了解文物保育工作的困難與成果</w:t>
            </w:r>
          </w:p>
        </w:tc>
        <w:tc>
          <w:tcPr>
            <w:tcW w:w="4868" w:type="dxa"/>
          </w:tcPr>
          <w:p w14:paraId="1D9DD948" w14:textId="77777777" w:rsidR="00CA6ECF" w:rsidRPr="00F91718" w:rsidRDefault="00CA6ECF">
            <w:pPr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 xml:space="preserve">主題2：改革開放以來的國家 </w:t>
            </w:r>
          </w:p>
          <w:p w14:paraId="4BA55EEB" w14:textId="77777777" w:rsidR="00CA6ECF" w:rsidRPr="00F91718" w:rsidRDefault="00CA6ECF" w:rsidP="00CA6ECF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 xml:space="preserve">課題：人民生活的轉變與綜合國力 </w:t>
            </w:r>
          </w:p>
          <w:p w14:paraId="22374D51" w14:textId="77777777" w:rsidR="00CA6ECF" w:rsidRPr="00F91718" w:rsidRDefault="00CA6ECF" w:rsidP="00CA6E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>綜合國力的提升（經濟、文化、自然資源、教育、科技、國防等）</w:t>
            </w:r>
          </w:p>
          <w:p w14:paraId="3E9DDE23" w14:textId="77777777" w:rsidR="00CA6ECF" w:rsidRPr="00F91718" w:rsidRDefault="00CA6ECF">
            <w:pPr>
              <w:rPr>
                <w:rFonts w:asciiTheme="minorEastAsia" w:hAnsiTheme="minorEastAsia"/>
                <w:szCs w:val="24"/>
              </w:rPr>
            </w:pPr>
          </w:p>
          <w:p w14:paraId="495FCA05" w14:textId="77777777" w:rsidR="00CA6ECF" w:rsidRPr="00F91718" w:rsidRDefault="00CA6ECF">
            <w:pPr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 xml:space="preserve">內地考察 </w:t>
            </w:r>
          </w:p>
          <w:p w14:paraId="7AD5EB78" w14:textId="77777777" w:rsidR="00CA6ECF" w:rsidRPr="00F91718" w:rsidRDefault="00CA6ECF">
            <w:pPr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>主題：中華文化與現代生活</w:t>
            </w:r>
          </w:p>
          <w:p w14:paraId="7BB749A2" w14:textId="77777777" w:rsidR="00CA6ECF" w:rsidRPr="00F91718" w:rsidRDefault="00CA6ECF" w:rsidP="00CA6ECF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>課題：傳統中華文化的特質</w:t>
            </w:r>
          </w:p>
          <w:p w14:paraId="4190D38C" w14:textId="77777777" w:rsidR="006041CF" w:rsidRPr="00F91718" w:rsidRDefault="00CA6ECF" w:rsidP="00CA6E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>文化遺產（包括物質與非物質文化遺產）的保育與傳承，包括應用科技進行保育工作</w:t>
            </w:r>
          </w:p>
        </w:tc>
      </w:tr>
    </w:tbl>
    <w:p w14:paraId="4F2156CD" w14:textId="77777777" w:rsidR="00645EF9" w:rsidRPr="00F91718" w:rsidRDefault="00645EF9" w:rsidP="00645EF9">
      <w:pPr>
        <w:widowControl/>
        <w:rPr>
          <w:rFonts w:asciiTheme="minorEastAsia" w:hAnsiTheme="minorEastAsia"/>
          <w:szCs w:val="24"/>
        </w:rPr>
      </w:pPr>
    </w:p>
    <w:p w14:paraId="4D0BE631" w14:textId="77777777" w:rsidR="003E5633" w:rsidRPr="00CA48C9" w:rsidRDefault="00645EF9" w:rsidP="003E5633">
      <w:pPr>
        <w:pStyle w:val="ListParagraph"/>
        <w:widowControl/>
        <w:numPr>
          <w:ilvl w:val="0"/>
          <w:numId w:val="4"/>
        </w:numPr>
        <w:ind w:leftChars="0"/>
        <w:rPr>
          <w:rFonts w:asciiTheme="minorEastAsia" w:hAnsiTheme="minorEastAsia" w:cs="Times New Roman"/>
          <w:spacing w:val="20"/>
          <w:kern w:val="0"/>
          <w:u w:val="thick"/>
          <w:shd w:val="clear" w:color="auto" w:fill="FFF2CC" w:themeFill="accent4" w:themeFillTint="33"/>
        </w:rPr>
      </w:pPr>
      <w:r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t>考察前準備</w:t>
      </w:r>
    </w:p>
    <w:p w14:paraId="69B5966D" w14:textId="77777777" w:rsidR="00C57B5F" w:rsidRPr="00615C14" w:rsidRDefault="00C57B5F" w:rsidP="00615C14">
      <w:pPr>
        <w:widowControl/>
        <w:rPr>
          <w:rStyle w:val="Hyperlink"/>
          <w:rFonts w:asciiTheme="minorEastAsia" w:hAnsiTheme="minorEastAsia"/>
          <w:color w:val="auto"/>
          <w:szCs w:val="24"/>
          <w:u w:val="none"/>
        </w:rPr>
      </w:pPr>
    </w:p>
    <w:p w14:paraId="5C8AB8F8" w14:textId="4FD85023" w:rsidR="00CA48C9" w:rsidRPr="00615C14" w:rsidRDefault="00C57B5F" w:rsidP="00615C14">
      <w:pPr>
        <w:widowControl/>
        <w:rPr>
          <w:rStyle w:val="Hyperlink"/>
          <w:rFonts w:asciiTheme="minorEastAsia" w:hAnsiTheme="minorEastAsia"/>
          <w:color w:val="auto"/>
          <w:szCs w:val="24"/>
          <w:u w:val="none"/>
        </w:rPr>
      </w:pPr>
      <w:r w:rsidRPr="00615C14">
        <w:rPr>
          <w:rStyle w:val="Hyperlink"/>
          <w:rFonts w:hint="eastAsia"/>
          <w:color w:val="auto"/>
          <w:szCs w:val="24"/>
          <w:u w:val="none"/>
        </w:rPr>
        <w:t>資料一：</w:t>
      </w:r>
      <w:r w:rsidR="00894351">
        <w:rPr>
          <w:rFonts w:asciiTheme="minorEastAsia" w:hAnsiTheme="minorEastAsia" w:hint="eastAsia"/>
          <w:szCs w:val="24"/>
        </w:rPr>
        <w:t>良渚文化</w:t>
      </w:r>
      <w:r w:rsidR="00291F3B" w:rsidRPr="00291F3B">
        <w:rPr>
          <w:rFonts w:asciiTheme="minorEastAsia" w:hAnsiTheme="minorEastAsia" w:hint="eastAsia"/>
          <w:szCs w:val="24"/>
        </w:rPr>
        <w:t>的簡介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771"/>
        <w:gridCol w:w="1509"/>
      </w:tblGrid>
      <w:tr w:rsidR="00704CCC" w:rsidRPr="00291F3B" w14:paraId="39B23FD8" w14:textId="15479E35" w:rsidTr="00615C14">
        <w:trPr>
          <w:trHeight w:val="1275"/>
        </w:trPr>
        <w:tc>
          <w:tcPr>
            <w:tcW w:w="399" w:type="dxa"/>
            <w:shd w:val="clear" w:color="auto" w:fill="E7E6E6" w:themeFill="background2"/>
            <w:vAlign w:val="center"/>
          </w:tcPr>
          <w:p w14:paraId="7C49E3BA" w14:textId="43D0056B" w:rsidR="00291F3B" w:rsidRPr="00615C14" w:rsidRDefault="00291F3B" w:rsidP="00615C14">
            <w:pPr>
              <w:widowControl/>
              <w:jc w:val="center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網站</w:t>
            </w:r>
          </w:p>
        </w:tc>
        <w:tc>
          <w:tcPr>
            <w:tcW w:w="7818" w:type="dxa"/>
            <w:vAlign w:val="center"/>
          </w:tcPr>
          <w:p w14:paraId="11151F49" w14:textId="5D1D0A21" w:rsidR="00291F3B" w:rsidRDefault="00291F3B">
            <w:pPr>
              <w:widowControl/>
              <w:jc w:val="both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良渚博物館官方網站</w:t>
            </w:r>
          </w:p>
          <w:p w14:paraId="3E1A8E1F" w14:textId="12C9AAB1" w:rsidR="005463A0" w:rsidRPr="00615C14" w:rsidRDefault="005463A0" w:rsidP="00615C14">
            <w:pPr>
              <w:widowControl/>
              <w:jc w:val="both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【</w:t>
            </w:r>
            <w:r w:rsid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建議</w:t>
            </w:r>
            <w:r w:rsidR="006B7E67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瀏覽</w:t>
            </w:r>
            <w:r w:rsidR="00615C14"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博物館簡介</w:t>
            </w:r>
            <w:r w:rsidR="006B7E67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、</w:t>
            </w:r>
            <w:r w:rsidR="00615C14"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良渚博物館線上虛擬展覽</w:t>
            </w:r>
            <w:r w:rsidR="00090E16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、</w:t>
            </w:r>
            <w:r w:rsidR="00615C14" w:rsidRPr="00615C14">
              <w:rPr>
                <w:rFonts w:asciiTheme="minorEastAsia" w:hAnsiTheme="minorEastAsia" w:hint="eastAsia"/>
                <w:szCs w:val="24"/>
              </w:rPr>
              <w:t>典藏精品</w:t>
            </w:r>
            <w:r w:rsidR="006B7E67">
              <w:rPr>
                <w:rFonts w:asciiTheme="minorEastAsia" w:hAnsiTheme="minorEastAsia" w:hint="eastAsia"/>
                <w:szCs w:val="24"/>
              </w:rPr>
              <w:t>等頁面</w:t>
            </w: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】</w:t>
            </w:r>
          </w:p>
          <w:p w14:paraId="4D9AA752" w14:textId="5DA5F88E" w:rsidR="00291F3B" w:rsidRPr="00615C14" w:rsidRDefault="00615C14" w:rsidP="00615C14">
            <w:pPr>
              <w:widowControl/>
              <w:jc w:val="both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 w:rsidRPr="00615C14"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>https://www.lzmuseum.cn/BoWuYuanJianJie/index.html</w:t>
            </w:r>
            <w:r w:rsidR="00291F3B" w:rsidRPr="00615C14"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 xml:space="preserve"> </w:t>
            </w:r>
          </w:p>
        </w:tc>
        <w:tc>
          <w:tcPr>
            <w:tcW w:w="1519" w:type="dxa"/>
          </w:tcPr>
          <w:p w14:paraId="778D1F55" w14:textId="69782B02" w:rsidR="00291F3B" w:rsidRPr="00615C14" w:rsidRDefault="00291F3B" w:rsidP="00CA48C9">
            <w:pPr>
              <w:widowControl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 w:rsidRPr="00615C14">
              <w:rPr>
                <w:rStyle w:val="Hyperlink"/>
                <w:rFonts w:asciiTheme="minorEastAsia" w:hAnsiTheme="minorEastAsia"/>
                <w:noProof/>
                <w:color w:val="auto"/>
                <w:szCs w:val="24"/>
                <w:u w:val="none"/>
              </w:rPr>
              <w:drawing>
                <wp:inline distT="0" distB="0" distL="0" distR="0" wp14:anchorId="2954E4FA" wp14:editId="593AE60F">
                  <wp:extent cx="519791" cy="519791"/>
                  <wp:effectExtent l="0" t="0" r="0" b="0"/>
                  <wp:docPr id="1" name="圖片 1" descr="C:\Users\holaiyi\AppData\Local\Microsoft\Windows\INetCache\Content.Word\qrcode_102658930_5d53cd5d68e9b7db2cf610b449e1d1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olaiyi\AppData\Local\Microsoft\Windows\INetCache\Content.Word\qrcode_102658930_5d53cd5d68e9b7db2cf610b449e1d1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73" cy="52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CCC" w:rsidRPr="00291F3B" w14:paraId="1D7686BC" w14:textId="7CF2B6E1" w:rsidTr="00615C14">
        <w:trPr>
          <w:trHeight w:val="672"/>
        </w:trPr>
        <w:tc>
          <w:tcPr>
            <w:tcW w:w="399" w:type="dxa"/>
            <w:shd w:val="clear" w:color="auto" w:fill="E7E6E6" w:themeFill="background2"/>
            <w:vAlign w:val="center"/>
          </w:tcPr>
          <w:p w14:paraId="596950FB" w14:textId="4C6AA864" w:rsidR="00291F3B" w:rsidRPr="00615C14" w:rsidRDefault="00291F3B" w:rsidP="00615C14">
            <w:pPr>
              <w:widowControl/>
              <w:jc w:val="center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視頻</w:t>
            </w:r>
          </w:p>
        </w:tc>
        <w:tc>
          <w:tcPr>
            <w:tcW w:w="7818" w:type="dxa"/>
            <w:vAlign w:val="center"/>
          </w:tcPr>
          <w:p w14:paraId="18B546F6" w14:textId="12AB087E" w:rsidR="00291F3B" w:rsidRDefault="004F0BAD" w:rsidP="00615C14">
            <w:pPr>
              <w:jc w:val="both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T</w:t>
            </w:r>
            <w:r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>he China Current</w:t>
            </w: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：</w:t>
            </w:r>
            <w:r w:rsidR="00291F3B"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時間軸上的微塵</w:t>
            </w:r>
            <w:r w:rsidR="00210AA2"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 xml:space="preserve"> </w:t>
            </w:r>
            <w:r w:rsidR="00291F3B" w:rsidRPr="00615C14"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良渚古城</w:t>
            </w:r>
            <w:r w:rsidR="00291F3B" w:rsidRPr="00615C14"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 xml:space="preserve"> </w:t>
            </w:r>
          </w:p>
          <w:p w14:paraId="37734296" w14:textId="3E462718" w:rsidR="00100802" w:rsidRPr="00615C14" w:rsidRDefault="00100802" w:rsidP="00615C14">
            <w:pPr>
              <w:jc w:val="both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（片長</w:t>
            </w:r>
            <w:r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>3</w:t>
            </w: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分5</w:t>
            </w:r>
            <w:r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>8</w:t>
            </w:r>
            <w:r>
              <w:rPr>
                <w:rStyle w:val="Hyperlink"/>
                <w:rFonts w:asciiTheme="minorEastAsia" w:hAnsiTheme="minorEastAsia" w:hint="eastAsia"/>
                <w:color w:val="auto"/>
                <w:szCs w:val="24"/>
                <w:u w:val="none"/>
              </w:rPr>
              <w:t>秒，中文旁白及中文字幕）</w:t>
            </w:r>
          </w:p>
          <w:p w14:paraId="385484C7" w14:textId="4216E82F" w:rsidR="00291F3B" w:rsidRPr="00615C14" w:rsidRDefault="00615C14" w:rsidP="00615C14">
            <w:pPr>
              <w:jc w:val="both"/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 w:rsidRPr="00615C14"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>https://chinacurrent.com/education/article/2021/05/21992.html</w:t>
            </w:r>
            <w:r w:rsidR="00291F3B" w:rsidRPr="00615C14"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  <w:t xml:space="preserve"> </w:t>
            </w:r>
          </w:p>
        </w:tc>
        <w:tc>
          <w:tcPr>
            <w:tcW w:w="1519" w:type="dxa"/>
          </w:tcPr>
          <w:p w14:paraId="065EC982" w14:textId="36D6D836" w:rsidR="00291F3B" w:rsidRPr="00615C14" w:rsidRDefault="00704CCC" w:rsidP="00291F3B">
            <w:pPr>
              <w:rPr>
                <w:rStyle w:val="Hyperlink"/>
                <w:rFonts w:asciiTheme="minorEastAsia" w:hAnsiTheme="minorEastAsia"/>
                <w:color w:val="auto"/>
                <w:szCs w:val="24"/>
                <w:u w:val="none"/>
              </w:rPr>
            </w:pPr>
            <w:r>
              <w:rPr>
                <w:rFonts w:asciiTheme="minorEastAsia" w:hAnsiTheme="minorEastAsia"/>
                <w:noProof/>
                <w:szCs w:val="24"/>
              </w:rPr>
              <w:drawing>
                <wp:inline distT="0" distB="0" distL="0" distR="0" wp14:anchorId="6B316C4D" wp14:editId="63D1F9D3">
                  <wp:extent cx="562647" cy="562647"/>
                  <wp:effectExtent l="0" t="0" r="889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_102662601_aee9b6379e66a5b209a34a51044379d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73410" cy="57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F94BC" w14:textId="345C872E" w:rsidR="004F0BAD" w:rsidRDefault="004F0BAD" w:rsidP="00CA48C9">
      <w:pPr>
        <w:widowControl/>
        <w:rPr>
          <w:rStyle w:val="Hyperlink"/>
          <w:color w:val="auto"/>
          <w:szCs w:val="24"/>
          <w:u w:val="none"/>
        </w:rPr>
      </w:pPr>
    </w:p>
    <w:p w14:paraId="15F6B3CD" w14:textId="42A09B47" w:rsidR="00C57B5F" w:rsidRPr="00615C14" w:rsidRDefault="004F0BAD" w:rsidP="00615C14">
      <w:pPr>
        <w:widowControl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br w:type="page"/>
      </w:r>
    </w:p>
    <w:p w14:paraId="50E6F3C2" w14:textId="53345C8F" w:rsidR="003E5633" w:rsidRPr="00F91718" w:rsidRDefault="003E5633" w:rsidP="003E5633">
      <w:pPr>
        <w:rPr>
          <w:rFonts w:asciiTheme="minorEastAsia" w:hAnsiTheme="minorEastAsia"/>
          <w:szCs w:val="24"/>
        </w:rPr>
      </w:pPr>
      <w:r w:rsidRPr="00F91718">
        <w:rPr>
          <w:rStyle w:val="Hyperlink"/>
          <w:rFonts w:asciiTheme="minorEastAsia" w:hAnsiTheme="minorEastAsia" w:hint="eastAsia"/>
          <w:color w:val="auto"/>
          <w:szCs w:val="24"/>
          <w:u w:val="none"/>
        </w:rPr>
        <w:lastRenderedPageBreak/>
        <w:t>資料</w:t>
      </w:r>
      <w:r w:rsidR="00F82A6E">
        <w:rPr>
          <w:rStyle w:val="Hyperlink"/>
          <w:rFonts w:asciiTheme="minorEastAsia" w:hAnsiTheme="minorEastAsia" w:hint="eastAsia"/>
          <w:color w:val="auto"/>
          <w:szCs w:val="24"/>
          <w:u w:val="none"/>
        </w:rPr>
        <w:t>二</w:t>
      </w:r>
      <w:r w:rsidR="00205933" w:rsidRPr="00F91718">
        <w:rPr>
          <w:rStyle w:val="Hyperlink"/>
          <w:rFonts w:asciiTheme="minorEastAsia" w:hAnsiTheme="minorEastAsia" w:hint="eastAsia"/>
          <w:color w:val="auto"/>
          <w:szCs w:val="24"/>
          <w:u w:val="none"/>
        </w:rPr>
        <w:t>：</w:t>
      </w:r>
      <w:r w:rsidR="003B52B2" w:rsidRPr="00F91718">
        <w:rPr>
          <w:rFonts w:asciiTheme="minorEastAsia" w:hAnsiTheme="minorEastAsia" w:hint="eastAsia"/>
          <w:szCs w:val="24"/>
        </w:rPr>
        <w:t xml:space="preserve"> 良渚</w:t>
      </w:r>
      <w:r w:rsidR="00560B89" w:rsidRPr="00F91718">
        <w:rPr>
          <w:rFonts w:asciiTheme="minorEastAsia" w:hAnsiTheme="minorEastAsia" w:hint="eastAsia"/>
          <w:szCs w:val="24"/>
        </w:rPr>
        <w:t>文化</w:t>
      </w:r>
      <w:r w:rsidR="00773C46">
        <w:rPr>
          <w:rFonts w:asciiTheme="minorEastAsia" w:hAnsiTheme="minorEastAsia" w:hint="eastAsia"/>
          <w:szCs w:val="24"/>
        </w:rPr>
        <w:t>遺址的</w:t>
      </w:r>
      <w:r w:rsidR="00F82A6E">
        <w:rPr>
          <w:rFonts w:asciiTheme="minorEastAsia" w:hAnsiTheme="minorEastAsia" w:hint="eastAsia"/>
          <w:szCs w:val="24"/>
        </w:rPr>
        <w:t>保育</w:t>
      </w:r>
      <w:r w:rsidR="003B52B2" w:rsidRPr="00F91718">
        <w:rPr>
          <w:rFonts w:asciiTheme="minorEastAsia" w:hAnsiTheme="minorEastAsia" w:hint="eastAsia"/>
          <w:szCs w:val="24"/>
        </w:rPr>
        <w:t>背景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1718" w:rsidRPr="000F1274" w14:paraId="093F37C3" w14:textId="77777777" w:rsidTr="00615C14">
        <w:trPr>
          <w:trHeight w:val="3313"/>
        </w:trPr>
        <w:tc>
          <w:tcPr>
            <w:tcW w:w="9736" w:type="dxa"/>
            <w:vAlign w:val="center"/>
          </w:tcPr>
          <w:p w14:paraId="2544A0C1" w14:textId="5720B307" w:rsidR="00F82A6E" w:rsidRPr="00323FBB" w:rsidRDefault="00F82A6E" w:rsidP="00615C14">
            <w:pPr>
              <w:pStyle w:val="BodyText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良渚古城遺址</w:t>
            </w:r>
            <w:r w:rsidR="004F0BAD"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的出現</w:t>
            </w:r>
            <w:r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距今</w:t>
            </w:r>
            <w:r w:rsidRPr="00323FB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5300</w:t>
            </w:r>
            <w:r w:rsid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</w:t>
            </w:r>
            <w:r w:rsidRPr="00323FB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4300</w:t>
            </w:r>
            <w:r w:rsidR="004F0BAD"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年，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自</w:t>
            </w:r>
            <w:r w:rsidRPr="00615C14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2007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年發現並確認良渚古城之後，經過</w:t>
            </w:r>
            <w:r w:rsidRPr="00615C14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10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餘年不間斷的考古調查、勘探和發掘，</w:t>
            </w:r>
            <w:r w:rsidR="004F0BAD"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當中</w:t>
            </w:r>
            <w:r w:rsid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出土了不少珍貴的文物，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而良</w:t>
            </w:r>
            <w:r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渚遺址在建築規模等不同範疇均表明</w:t>
            </w:r>
            <w:r w:rsidR="004F0BAD"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了</w:t>
            </w:r>
            <w:r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良渚文化的考古及文化價值。</w:t>
            </w:r>
            <w:r w:rsidRPr="00323FB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2019</w:t>
            </w:r>
            <w:r w:rsidR="00C72B5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年，良渚古城遺址被列入《世界遺產名錄》，填補了我國沒有</w:t>
            </w:r>
            <w:r w:rsidRP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新石器時代和早期文明時代世界文化遺產的缺憾。</w:t>
            </w:r>
          </w:p>
          <w:p w14:paraId="4722485F" w14:textId="16A37A1C" w:rsidR="003E5633" w:rsidRPr="00615C14" w:rsidRDefault="00F82A6E" w:rsidP="00615C14">
            <w:pPr>
              <w:pStyle w:val="BodyText"/>
              <w:spacing w:line="240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國家重視文物</w:t>
            </w:r>
            <w:r w:rsidR="00721F6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保育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工作，在十四五規劃亦強調深入實施中華優秀傳統文化傳承發展工程</w:t>
            </w:r>
            <w:r w:rsidR="004F0BAD"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的重要性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，強化</w:t>
            </w:r>
            <w:r w:rsidR="00323FB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重要文化和自然遺產、非物質文化遺產系統</w:t>
            </w:r>
            <w:r w:rsidR="00945004"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性保護，並落實執行不同保育措施，包括推進革命文物和紅色遺址保護</w:t>
            </w:r>
            <w:r w:rsidR="0094500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、</w:t>
            </w:r>
            <w:r w:rsidR="00323FBB"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建設長城等國家文化公園</w:t>
            </w:r>
            <w:r w:rsidR="0094500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及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94500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</w:t>
            </w:r>
            <w:r w:rsidRPr="00615C1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世界文化遺產、文物保護單位、考古遺址公園</w:t>
            </w:r>
            <w:r w:rsidRPr="00615C14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*、歷史文化名城名鎮名村保護等。</w:t>
            </w:r>
          </w:p>
        </w:tc>
      </w:tr>
    </w:tbl>
    <w:p w14:paraId="402FD941" w14:textId="3A547107" w:rsidR="00894351" w:rsidRPr="0004552A" w:rsidRDefault="00894351" w:rsidP="00615C14">
      <w:pPr>
        <w:widowControl/>
        <w:rPr>
          <w:rFonts w:asciiTheme="minorEastAsia" w:hAnsiTheme="minorEastAsia"/>
          <w:sz w:val="18"/>
          <w:szCs w:val="18"/>
        </w:rPr>
      </w:pPr>
      <w:r w:rsidRPr="0004552A">
        <w:rPr>
          <w:rFonts w:asciiTheme="minorEastAsia" w:hAnsiTheme="minorEastAsia" w:hint="eastAsia"/>
          <w:sz w:val="18"/>
          <w:szCs w:val="18"/>
        </w:rPr>
        <w:t>*</w:t>
      </w:r>
      <w:r w:rsidR="004E78C0" w:rsidRPr="004E78C0">
        <w:rPr>
          <w:rFonts w:asciiTheme="minorEastAsia" w:hAnsiTheme="minorEastAsia" w:hint="eastAsia"/>
          <w:sz w:val="18"/>
          <w:szCs w:val="18"/>
        </w:rPr>
        <w:t>良渚文化遺址</w:t>
      </w:r>
      <w:r w:rsidRPr="0004552A">
        <w:rPr>
          <w:rFonts w:asciiTheme="minorEastAsia" w:hAnsiTheme="minorEastAsia" w:hint="eastAsia"/>
          <w:sz w:val="18"/>
          <w:szCs w:val="18"/>
        </w:rPr>
        <w:t>於2</w:t>
      </w:r>
      <w:r w:rsidRPr="0004552A">
        <w:rPr>
          <w:rFonts w:asciiTheme="minorEastAsia" w:hAnsiTheme="minorEastAsia"/>
          <w:sz w:val="18"/>
          <w:szCs w:val="18"/>
        </w:rPr>
        <w:t>010</w:t>
      </w:r>
      <w:r>
        <w:rPr>
          <w:rFonts w:asciiTheme="minorEastAsia" w:hAnsiTheme="minorEastAsia" w:hint="eastAsia"/>
          <w:sz w:val="18"/>
          <w:szCs w:val="18"/>
        </w:rPr>
        <w:t>年</w:t>
      </w:r>
      <w:r w:rsidRPr="0004552A">
        <w:rPr>
          <w:rFonts w:asciiTheme="minorEastAsia" w:hAnsiTheme="minorEastAsia" w:hint="eastAsia"/>
          <w:sz w:val="18"/>
          <w:szCs w:val="18"/>
        </w:rPr>
        <w:t>被列入</w:t>
      </w:r>
      <w:r w:rsidR="004E78C0">
        <w:rPr>
          <w:rFonts w:asciiTheme="minorEastAsia" w:hAnsiTheme="minorEastAsia" w:hint="eastAsia"/>
          <w:sz w:val="18"/>
          <w:szCs w:val="18"/>
        </w:rPr>
        <w:t>國家</w:t>
      </w:r>
      <w:r w:rsidRPr="0004552A">
        <w:rPr>
          <w:rFonts w:asciiTheme="minorEastAsia" w:hAnsiTheme="minorEastAsia" w:hint="eastAsia"/>
          <w:sz w:val="18"/>
          <w:szCs w:val="18"/>
        </w:rPr>
        <w:t>第一批考古遺址公園</w:t>
      </w:r>
      <w:r w:rsidR="00323FBB">
        <w:rPr>
          <w:rFonts w:asciiTheme="minorEastAsia" w:hAnsiTheme="minorEastAsia" w:hint="eastAsia"/>
          <w:sz w:val="18"/>
          <w:szCs w:val="18"/>
        </w:rPr>
        <w:t>名單</w:t>
      </w:r>
      <w:r w:rsidR="001E7073">
        <w:rPr>
          <w:rFonts w:asciiTheme="minorEastAsia" w:hAnsiTheme="minorEastAsia" w:hint="eastAsia"/>
          <w:sz w:val="18"/>
          <w:szCs w:val="18"/>
        </w:rPr>
        <w:t>內</w:t>
      </w:r>
      <w:r w:rsidR="004E78C0">
        <w:rPr>
          <w:rFonts w:asciiTheme="minorEastAsia" w:hAnsiTheme="minorEastAsia" w:hint="eastAsia"/>
          <w:sz w:val="18"/>
          <w:szCs w:val="18"/>
        </w:rPr>
        <w:t>。</w:t>
      </w:r>
    </w:p>
    <w:p w14:paraId="42726749" w14:textId="7051ADC6" w:rsidR="00561CF5" w:rsidRPr="00615C14" w:rsidRDefault="00291F3B" w:rsidP="007B4AA3">
      <w:pPr>
        <w:widowControl/>
        <w:spacing w:line="0" w:lineRule="atLeast"/>
        <w:rPr>
          <w:rFonts w:asciiTheme="minorEastAsia" w:hAnsiTheme="minorEastAsia"/>
          <w:sz w:val="18"/>
          <w:szCs w:val="18"/>
        </w:rPr>
      </w:pPr>
      <w:r w:rsidRPr="00615C14">
        <w:rPr>
          <w:rFonts w:asciiTheme="minorEastAsia" w:hAnsiTheme="minorEastAsia" w:hint="eastAsia"/>
          <w:sz w:val="18"/>
          <w:szCs w:val="18"/>
        </w:rPr>
        <w:t>參考資料</w:t>
      </w:r>
      <w:r w:rsidR="007B4AA3" w:rsidRPr="00615C14">
        <w:rPr>
          <w:rFonts w:asciiTheme="minorEastAsia" w:hAnsiTheme="minorEastAsia" w:hint="eastAsia"/>
          <w:sz w:val="18"/>
          <w:szCs w:val="18"/>
        </w:rPr>
        <w:t>：</w:t>
      </w:r>
    </w:p>
    <w:p w14:paraId="53628905" w14:textId="062F71D7" w:rsidR="00615C14" w:rsidRPr="00615C14" w:rsidRDefault="00773C46" w:rsidP="00615C14">
      <w:pPr>
        <w:pStyle w:val="ListParagraph"/>
        <w:widowControl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color w:val="0563C1" w:themeColor="hyperlink"/>
          <w:sz w:val="18"/>
          <w:szCs w:val="18"/>
          <w:u w:val="single"/>
        </w:rPr>
      </w:pPr>
      <w:r w:rsidRPr="00615C14">
        <w:rPr>
          <w:rStyle w:val="Hyperlink"/>
          <w:rFonts w:asciiTheme="minorEastAsia" w:hAnsiTheme="minorEastAsia" w:hint="eastAsia"/>
          <w:color w:val="auto"/>
          <w:sz w:val="18"/>
          <w:szCs w:val="18"/>
          <w:u w:val="none"/>
        </w:rPr>
        <w:t>國家文物局</w:t>
      </w:r>
      <w:r w:rsidR="007B4AA3" w:rsidRPr="00615C14">
        <w:rPr>
          <w:rFonts w:asciiTheme="minorEastAsia" w:hAnsiTheme="minorEastAsia" w:hint="eastAsia"/>
          <w:sz w:val="18"/>
          <w:szCs w:val="18"/>
        </w:rPr>
        <w:t>網站</w:t>
      </w:r>
      <w:r w:rsidR="00615C14" w:rsidRPr="00615C14">
        <w:rPr>
          <w:rFonts w:asciiTheme="minorEastAsia" w:hAnsiTheme="minorEastAsia"/>
          <w:sz w:val="18"/>
          <w:szCs w:val="18"/>
        </w:rPr>
        <w:t>http://www.ncha.gov.cn/art/2022/3/18/art_2587_66.html</w:t>
      </w:r>
      <w:r w:rsidRPr="00323FBB">
        <w:t xml:space="preserve"> </w:t>
      </w:r>
      <w:r w:rsidRPr="00323FBB">
        <w:rPr>
          <w:rFonts w:asciiTheme="minorEastAsia" w:hAnsiTheme="minorEastAsia"/>
          <w:sz w:val="18"/>
          <w:szCs w:val="18"/>
        </w:rPr>
        <w:t xml:space="preserve"> </w:t>
      </w:r>
    </w:p>
    <w:p w14:paraId="1D756DC6" w14:textId="2D25F799" w:rsidR="00100802" w:rsidRPr="00615C14" w:rsidRDefault="00323FBB" w:rsidP="00615C14">
      <w:pPr>
        <w:pStyle w:val="ListParagraph"/>
        <w:widowControl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18"/>
          <w:szCs w:val="18"/>
        </w:rPr>
      </w:pPr>
      <w:r w:rsidRPr="00615C14">
        <w:rPr>
          <w:rFonts w:asciiTheme="minorEastAsia" w:hAnsiTheme="minorEastAsia" w:hint="eastAsia"/>
          <w:sz w:val="18"/>
          <w:szCs w:val="18"/>
        </w:rPr>
        <w:t>《</w:t>
      </w:r>
      <w:r w:rsidR="004F0BAD" w:rsidRPr="00615C14">
        <w:rPr>
          <w:rFonts w:asciiTheme="minorEastAsia" w:hAnsiTheme="minorEastAsia" w:hint="eastAsia"/>
          <w:sz w:val="18"/>
          <w:szCs w:val="18"/>
        </w:rPr>
        <w:t>中華人民共和國國民經濟和社會發展第十四個五年規劃和</w:t>
      </w:r>
      <w:r w:rsidR="004F0BAD" w:rsidRPr="00615C14">
        <w:rPr>
          <w:rFonts w:asciiTheme="minorEastAsia" w:hAnsiTheme="minorEastAsia"/>
          <w:sz w:val="18"/>
          <w:szCs w:val="18"/>
        </w:rPr>
        <w:t>2035年遠景目標綱要</w:t>
      </w:r>
      <w:r w:rsidRPr="00615C14">
        <w:rPr>
          <w:rFonts w:asciiTheme="minorEastAsia" w:hAnsiTheme="minorEastAsia" w:hint="eastAsia"/>
          <w:sz w:val="18"/>
          <w:szCs w:val="18"/>
        </w:rPr>
        <w:t>》</w:t>
      </w:r>
    </w:p>
    <w:p w14:paraId="0A5836B0" w14:textId="77777777" w:rsidR="007E29BB" w:rsidRPr="00F91718" w:rsidRDefault="007E29BB" w:rsidP="00AF38E1">
      <w:pPr>
        <w:widowControl/>
        <w:jc w:val="both"/>
        <w:rPr>
          <w:rFonts w:asciiTheme="minorEastAsia" w:hAnsiTheme="minorEastAsia"/>
          <w:szCs w:val="24"/>
        </w:rPr>
      </w:pPr>
    </w:p>
    <w:p w14:paraId="2E97339C" w14:textId="6ACD85ED" w:rsidR="000E713D" w:rsidRPr="00F91718" w:rsidRDefault="000E713D" w:rsidP="000E713D">
      <w:pPr>
        <w:widowControl/>
        <w:rPr>
          <w:rFonts w:asciiTheme="minorEastAsia" w:hAnsiTheme="minorEastAsia"/>
          <w:szCs w:val="24"/>
        </w:rPr>
      </w:pPr>
      <w:r w:rsidRPr="00F91718">
        <w:rPr>
          <w:rFonts w:asciiTheme="minorEastAsia" w:hAnsiTheme="minorEastAsia" w:hint="eastAsia"/>
          <w:szCs w:val="24"/>
        </w:rPr>
        <w:t>資料</w:t>
      </w:r>
      <w:r>
        <w:rPr>
          <w:rFonts w:asciiTheme="minorEastAsia" w:hAnsiTheme="minorEastAsia" w:hint="eastAsia"/>
          <w:szCs w:val="24"/>
        </w:rPr>
        <w:t>三</w:t>
      </w:r>
      <w:r w:rsidRPr="00F91718">
        <w:rPr>
          <w:rFonts w:asciiTheme="minorEastAsia" w:hAnsiTheme="minorEastAsia" w:hint="eastAsia"/>
          <w:szCs w:val="24"/>
        </w:rPr>
        <w:t>：良渚文化遺址</w:t>
      </w:r>
      <w:r w:rsidR="00E93AE8">
        <w:rPr>
          <w:rFonts w:asciiTheme="minorEastAsia" w:hAnsiTheme="minorEastAsia" w:hint="eastAsia"/>
          <w:szCs w:val="24"/>
        </w:rPr>
        <w:t>於2</w:t>
      </w:r>
      <w:r w:rsidR="00E93AE8">
        <w:rPr>
          <w:rFonts w:asciiTheme="minorEastAsia" w:hAnsiTheme="minorEastAsia"/>
          <w:szCs w:val="24"/>
        </w:rPr>
        <w:t>019</w:t>
      </w:r>
      <w:r w:rsidR="00E93AE8">
        <w:rPr>
          <w:rFonts w:asciiTheme="minorEastAsia" w:hAnsiTheme="minorEastAsia" w:hint="eastAsia"/>
          <w:szCs w:val="24"/>
        </w:rPr>
        <w:t>年</w:t>
      </w:r>
      <w:r w:rsidRPr="00F91718">
        <w:rPr>
          <w:rFonts w:asciiTheme="minorEastAsia" w:hAnsiTheme="minorEastAsia" w:hint="eastAsia"/>
          <w:szCs w:val="24"/>
        </w:rPr>
        <w:t>申遺成功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E713D" w:rsidRPr="00F91718" w14:paraId="1763B15F" w14:textId="77777777" w:rsidTr="00615C14">
        <w:trPr>
          <w:trHeight w:val="1649"/>
        </w:trPr>
        <w:tc>
          <w:tcPr>
            <w:tcW w:w="9736" w:type="dxa"/>
            <w:vAlign w:val="center"/>
          </w:tcPr>
          <w:p w14:paraId="79A3AE53" w14:textId="5B9B1647" w:rsidR="000E713D" w:rsidRPr="00F91718" w:rsidRDefault="000E713D">
            <w:pPr>
              <w:jc w:val="both"/>
              <w:rPr>
                <w:rFonts w:asciiTheme="minorEastAsia" w:hAnsiTheme="minorEastAsia"/>
                <w:szCs w:val="24"/>
              </w:rPr>
            </w:pPr>
            <w:r w:rsidRPr="00F91718">
              <w:rPr>
                <w:rFonts w:asciiTheme="minorEastAsia" w:hAnsiTheme="minorEastAsia" w:hint="eastAsia"/>
                <w:szCs w:val="24"/>
              </w:rPr>
              <w:t>第</w:t>
            </w:r>
            <w:r w:rsidRPr="00F91718">
              <w:rPr>
                <w:rFonts w:asciiTheme="minorEastAsia" w:hAnsiTheme="minorEastAsia"/>
                <w:szCs w:val="24"/>
              </w:rPr>
              <w:t>43</w:t>
            </w:r>
            <w:r w:rsidRPr="00F91718">
              <w:rPr>
                <w:rFonts w:asciiTheme="minorEastAsia" w:hAnsiTheme="minorEastAsia" w:hint="eastAsia"/>
                <w:szCs w:val="24"/>
              </w:rPr>
              <w:t>屆聯合國教科文組織世界遺產委員會會議</w:t>
            </w:r>
            <w:r>
              <w:rPr>
                <w:rFonts w:asciiTheme="minorEastAsia" w:hAnsiTheme="minorEastAsia" w:hint="eastAsia"/>
                <w:szCs w:val="24"/>
              </w:rPr>
              <w:t>在亞塞拜然巴庫進行，</w:t>
            </w:r>
            <w:r w:rsidRPr="00F91718">
              <w:rPr>
                <w:rFonts w:asciiTheme="minorEastAsia" w:hAnsiTheme="minorEastAsia" w:hint="eastAsia"/>
                <w:szCs w:val="24"/>
              </w:rPr>
              <w:t>良渚文化遺址獲准列入世界遺產名錄。至此，中國世界遺產總數達</w:t>
            </w:r>
            <w:r w:rsidRPr="00F91718">
              <w:rPr>
                <w:rFonts w:asciiTheme="minorEastAsia" w:hAnsiTheme="minorEastAsia"/>
                <w:szCs w:val="24"/>
              </w:rPr>
              <w:t>55</w:t>
            </w:r>
            <w:r w:rsidRPr="00F91718">
              <w:rPr>
                <w:rFonts w:asciiTheme="minorEastAsia" w:hAnsiTheme="minorEastAsia" w:hint="eastAsia"/>
                <w:szCs w:val="24"/>
              </w:rPr>
              <w:t>處，位居世界第一。世界遺產委員會表示，遺址真實地展現了新石器時代長江下游稻作文明的發展程度，揭示了良渚文化遺址作為新石器時代早期區域城市文明的全景，符合世界遺產的真實性和完整性要求。</w:t>
            </w:r>
          </w:p>
        </w:tc>
      </w:tr>
    </w:tbl>
    <w:p w14:paraId="66984FDE" w14:textId="79667458" w:rsidR="000E713D" w:rsidRPr="00615C14" w:rsidRDefault="00291F3B" w:rsidP="000E713D">
      <w:pPr>
        <w:widowControl/>
        <w:spacing w:line="0" w:lineRule="atLeast"/>
        <w:rPr>
          <w:rFonts w:asciiTheme="minorEastAsia" w:hAnsiTheme="minorEastAsia"/>
          <w:sz w:val="18"/>
          <w:szCs w:val="18"/>
          <w:highlight w:val="yellow"/>
        </w:rPr>
      </w:pPr>
      <w:r w:rsidRPr="00615C14">
        <w:rPr>
          <w:rFonts w:asciiTheme="minorEastAsia" w:hAnsiTheme="minorEastAsia" w:hint="eastAsia"/>
          <w:sz w:val="18"/>
          <w:szCs w:val="18"/>
        </w:rPr>
        <w:t>參考資料：</w:t>
      </w:r>
      <w:r w:rsidR="000E713D" w:rsidRPr="00323FBB">
        <w:rPr>
          <w:rFonts w:asciiTheme="minorEastAsia" w:hAnsiTheme="minorEastAsia" w:hint="eastAsia"/>
          <w:sz w:val="18"/>
          <w:szCs w:val="18"/>
        </w:rPr>
        <w:t>中</w:t>
      </w:r>
      <w:r w:rsidR="000E713D" w:rsidRPr="00F91718">
        <w:rPr>
          <w:rFonts w:asciiTheme="minorEastAsia" w:hAnsiTheme="minorEastAsia" w:hint="eastAsia"/>
          <w:sz w:val="18"/>
          <w:szCs w:val="18"/>
        </w:rPr>
        <w:t>華人民共和國中央人民政府網站</w:t>
      </w:r>
      <w:r w:rsidR="00615C14" w:rsidRPr="00615C14">
        <w:rPr>
          <w:rFonts w:asciiTheme="minorEastAsia" w:hAnsiTheme="minorEastAsia"/>
          <w:sz w:val="18"/>
          <w:szCs w:val="18"/>
        </w:rPr>
        <w:t>https://www.gov.cn/xinwen/2019-07/06/content_5406839.htm</w:t>
      </w:r>
      <w:r w:rsidR="000E713D" w:rsidRPr="00F91718">
        <w:rPr>
          <w:rFonts w:asciiTheme="minorEastAsia" w:hAnsiTheme="minorEastAsia"/>
          <w:sz w:val="18"/>
          <w:szCs w:val="18"/>
        </w:rPr>
        <w:t xml:space="preserve"> </w:t>
      </w:r>
    </w:p>
    <w:p w14:paraId="43FFF446" w14:textId="77777777" w:rsidR="000E713D" w:rsidRDefault="000E713D" w:rsidP="00006EB2">
      <w:pPr>
        <w:widowControl/>
        <w:jc w:val="both"/>
        <w:rPr>
          <w:rFonts w:asciiTheme="minorEastAsia" w:hAnsiTheme="minorEastAsia"/>
          <w:szCs w:val="24"/>
        </w:rPr>
      </w:pPr>
    </w:p>
    <w:p w14:paraId="69FA9F8E" w14:textId="7F9D9A1E" w:rsidR="006F1419" w:rsidRPr="00F91718" w:rsidRDefault="006F1419" w:rsidP="00006EB2">
      <w:pPr>
        <w:widowControl/>
        <w:jc w:val="both"/>
        <w:rPr>
          <w:rFonts w:asciiTheme="minorEastAsia" w:hAnsiTheme="minorEastAsia"/>
          <w:szCs w:val="24"/>
        </w:rPr>
      </w:pPr>
      <w:r w:rsidRPr="00F91718">
        <w:rPr>
          <w:rFonts w:asciiTheme="minorEastAsia" w:hAnsiTheme="minorEastAsia" w:hint="eastAsia"/>
          <w:szCs w:val="24"/>
        </w:rPr>
        <w:t>資料</w:t>
      </w:r>
      <w:r w:rsidR="000E713D">
        <w:rPr>
          <w:rFonts w:asciiTheme="minorEastAsia" w:hAnsiTheme="minorEastAsia" w:hint="eastAsia"/>
          <w:szCs w:val="24"/>
        </w:rPr>
        <w:t>四</w:t>
      </w:r>
      <w:r w:rsidR="003B52B2" w:rsidRPr="00F91718">
        <w:rPr>
          <w:rFonts w:asciiTheme="minorEastAsia" w:hAnsiTheme="minorEastAsia" w:hint="eastAsia"/>
          <w:szCs w:val="24"/>
        </w:rPr>
        <w:t>：杭州</w:t>
      </w:r>
      <w:r w:rsidR="003B52B2" w:rsidRPr="00F91718">
        <w:rPr>
          <w:rFonts w:asciiTheme="minorEastAsia" w:hAnsiTheme="minorEastAsia"/>
          <w:szCs w:val="24"/>
        </w:rPr>
        <w:t>2022</w:t>
      </w:r>
      <w:r w:rsidR="003B52B2" w:rsidRPr="00F91718">
        <w:rPr>
          <w:rFonts w:asciiTheme="minorEastAsia" w:hAnsiTheme="minorEastAsia" w:hint="eastAsia"/>
          <w:szCs w:val="24"/>
        </w:rPr>
        <w:t>年第</w:t>
      </w:r>
      <w:r w:rsidR="003B52B2" w:rsidRPr="00F91718">
        <w:rPr>
          <w:rFonts w:asciiTheme="minorEastAsia" w:hAnsiTheme="minorEastAsia"/>
          <w:szCs w:val="24"/>
        </w:rPr>
        <w:t>19</w:t>
      </w:r>
      <w:r w:rsidR="003B52B2" w:rsidRPr="00F91718">
        <w:rPr>
          <w:rFonts w:asciiTheme="minorEastAsia" w:hAnsiTheme="minorEastAsia" w:hint="eastAsia"/>
          <w:szCs w:val="24"/>
        </w:rPr>
        <w:t>屆亞運會</w:t>
      </w:r>
      <w:r w:rsidR="00615C14">
        <w:rPr>
          <w:rFonts w:asciiTheme="minorEastAsia" w:hAnsiTheme="minorEastAsia" w:hint="eastAsia"/>
          <w:szCs w:val="24"/>
        </w:rPr>
        <w:t>的</w:t>
      </w:r>
      <w:r w:rsidR="003B52B2" w:rsidRPr="00F91718">
        <w:rPr>
          <w:rFonts w:asciiTheme="minorEastAsia" w:hAnsiTheme="minorEastAsia" w:hint="eastAsia"/>
          <w:szCs w:val="24"/>
        </w:rPr>
        <w:t>吉祥物「琮琮」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1718" w:rsidRPr="00323FBB" w14:paraId="66D4ECC8" w14:textId="77777777" w:rsidTr="00615C14">
        <w:trPr>
          <w:trHeight w:val="2277"/>
        </w:trPr>
        <w:tc>
          <w:tcPr>
            <w:tcW w:w="9736" w:type="dxa"/>
            <w:vAlign w:val="center"/>
          </w:tcPr>
          <w:p w14:paraId="4EC7ECD1" w14:textId="77777777" w:rsidR="003E5633" w:rsidRPr="00323FBB" w:rsidRDefault="007B4AA3" w:rsidP="00F91718">
            <w:pPr>
              <w:jc w:val="both"/>
              <w:rPr>
                <w:rFonts w:asciiTheme="minorEastAsia" w:hAnsiTheme="minorEastAsia"/>
                <w:szCs w:val="24"/>
              </w:rPr>
            </w:pPr>
            <w:r w:rsidRPr="007C72F5"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65C4B93" wp14:editId="1DCBF6E2">
                  <wp:simplePos x="0" y="0"/>
                  <wp:positionH relativeFrom="column">
                    <wp:posOffset>4699223</wp:posOffset>
                  </wp:positionH>
                  <wp:positionV relativeFrom="paragraph">
                    <wp:posOffset>258</wp:posOffset>
                  </wp:positionV>
                  <wp:extent cx="1391285" cy="1391285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294" y="21294"/>
                      <wp:lineTo x="21294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391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5633" w:rsidRPr="00323FBB">
              <w:rPr>
                <w:rFonts w:asciiTheme="minorEastAsia" w:hAnsiTheme="minorEastAsia" w:hint="eastAsia"/>
                <w:szCs w:val="24"/>
              </w:rPr>
              <w:t>第十九屆杭州亞運會吉祥物之一「琮琮」以機器人的造型代表世界遺產</w:t>
            </w:r>
            <w:r w:rsidR="00560B89" w:rsidRPr="00323FBB">
              <w:rPr>
                <w:rFonts w:asciiTheme="minorEastAsia" w:hAnsiTheme="minorEastAsia" w:hint="eastAsia"/>
                <w:szCs w:val="24"/>
              </w:rPr>
              <w:t>良渚文化遺址</w:t>
            </w:r>
            <w:r w:rsidR="003E5633" w:rsidRPr="00323FBB">
              <w:rPr>
                <w:rFonts w:asciiTheme="minorEastAsia" w:hAnsiTheme="minorEastAsia" w:hint="eastAsia"/>
                <w:szCs w:val="24"/>
              </w:rPr>
              <w:t>，名字源於</w:t>
            </w:r>
            <w:r w:rsidR="00560B89" w:rsidRPr="00323FBB">
              <w:rPr>
                <w:rFonts w:asciiTheme="minorEastAsia" w:hAnsiTheme="minorEastAsia" w:hint="eastAsia"/>
                <w:szCs w:val="24"/>
              </w:rPr>
              <w:t>遺址</w:t>
            </w:r>
            <w:r w:rsidR="003E5633" w:rsidRPr="00323FBB">
              <w:rPr>
                <w:rFonts w:asciiTheme="minorEastAsia" w:hAnsiTheme="minorEastAsia" w:hint="eastAsia"/>
                <w:szCs w:val="24"/>
              </w:rPr>
              <w:t>出土的代表性文物玉琮。具有精美絕倫紋飾的玉琮是良渚文化的重要標誌物，散發著永恆的魅力。「琮琮」實證了中華五千多年文明史，全身以源自大地、象徵豐收的黃色為主色調，頭部裝飾的紋樣取自良渚文化的標誌性符號「神人獸面紋」，意寓「不畏艱險、超越自我」。</w:t>
            </w:r>
          </w:p>
        </w:tc>
      </w:tr>
    </w:tbl>
    <w:p w14:paraId="118CB337" w14:textId="2BEC105C" w:rsidR="006F1419" w:rsidRPr="00615C14" w:rsidRDefault="00291F3B" w:rsidP="007B4AA3">
      <w:pPr>
        <w:widowControl/>
        <w:spacing w:line="0" w:lineRule="atLeast"/>
        <w:rPr>
          <w:rFonts w:asciiTheme="minorEastAsia" w:hAnsiTheme="minorEastAsia"/>
          <w:sz w:val="18"/>
          <w:szCs w:val="18"/>
          <w:highlight w:val="yellow"/>
        </w:rPr>
      </w:pPr>
      <w:r w:rsidRPr="00615C14">
        <w:rPr>
          <w:rFonts w:asciiTheme="minorEastAsia" w:hAnsiTheme="minorEastAsia" w:hint="eastAsia"/>
          <w:sz w:val="18"/>
          <w:szCs w:val="18"/>
        </w:rPr>
        <w:t>參考資料：</w:t>
      </w:r>
      <w:r w:rsidR="007B4AA3" w:rsidRPr="00323FBB">
        <w:rPr>
          <w:rFonts w:asciiTheme="minorEastAsia" w:hAnsiTheme="minorEastAsia" w:hint="eastAsia"/>
          <w:sz w:val="18"/>
          <w:szCs w:val="18"/>
        </w:rPr>
        <w:t>杭</w:t>
      </w:r>
      <w:r w:rsidR="007B4AA3" w:rsidRPr="00F91718">
        <w:rPr>
          <w:rFonts w:asciiTheme="minorEastAsia" w:hAnsiTheme="minorEastAsia" w:hint="eastAsia"/>
          <w:sz w:val="18"/>
          <w:szCs w:val="18"/>
        </w:rPr>
        <w:t>州2</w:t>
      </w:r>
      <w:r w:rsidR="007B4AA3" w:rsidRPr="00F91718">
        <w:rPr>
          <w:rFonts w:asciiTheme="minorEastAsia" w:hAnsiTheme="minorEastAsia"/>
          <w:sz w:val="18"/>
          <w:szCs w:val="18"/>
        </w:rPr>
        <w:t>022</w:t>
      </w:r>
      <w:r w:rsidR="007B4AA3" w:rsidRPr="00F91718">
        <w:rPr>
          <w:rFonts w:asciiTheme="minorEastAsia" w:hAnsiTheme="minorEastAsia" w:hint="eastAsia"/>
          <w:sz w:val="18"/>
          <w:szCs w:val="18"/>
        </w:rPr>
        <w:t>年第1</w:t>
      </w:r>
      <w:r w:rsidR="007B4AA3" w:rsidRPr="00F91718">
        <w:rPr>
          <w:rFonts w:asciiTheme="minorEastAsia" w:hAnsiTheme="minorEastAsia"/>
          <w:sz w:val="18"/>
          <w:szCs w:val="18"/>
        </w:rPr>
        <w:t>9</w:t>
      </w:r>
      <w:r w:rsidR="007B4AA3" w:rsidRPr="00F91718">
        <w:rPr>
          <w:rFonts w:asciiTheme="minorEastAsia" w:hAnsiTheme="minorEastAsia" w:hint="eastAsia"/>
          <w:sz w:val="18"/>
          <w:szCs w:val="18"/>
        </w:rPr>
        <w:t>屆亞運會網站</w:t>
      </w:r>
      <w:r w:rsidR="00615C14" w:rsidRPr="00615C14">
        <w:rPr>
          <w:rFonts w:asciiTheme="minorEastAsia" w:hAnsiTheme="minorEastAsia"/>
          <w:sz w:val="18"/>
          <w:szCs w:val="18"/>
        </w:rPr>
        <w:t>https://www.hangzhou2022.cn/ztzl/yyhjxw/202105/t20210514_21090.shtml</w:t>
      </w:r>
      <w:r w:rsidR="00F8166D">
        <w:rPr>
          <w:rFonts w:asciiTheme="minorEastAsia" w:hAnsiTheme="minorEastAsia"/>
          <w:sz w:val="18"/>
          <w:szCs w:val="18"/>
        </w:rPr>
        <w:t xml:space="preserve"> </w:t>
      </w:r>
      <w:r w:rsidR="007B4AA3" w:rsidRPr="00F91718">
        <w:rPr>
          <w:rFonts w:asciiTheme="minorEastAsia" w:hAnsiTheme="minorEastAsia"/>
          <w:sz w:val="18"/>
          <w:szCs w:val="18"/>
        </w:rPr>
        <w:t xml:space="preserve"> </w:t>
      </w:r>
      <w:r w:rsidR="00F8166D">
        <w:rPr>
          <w:rFonts w:asciiTheme="minorEastAsia" w:hAnsiTheme="minorEastAsia"/>
          <w:sz w:val="18"/>
          <w:szCs w:val="18"/>
        </w:rPr>
        <w:t xml:space="preserve"> </w:t>
      </w:r>
    </w:p>
    <w:p w14:paraId="5DC3F070" w14:textId="77777777" w:rsidR="00954601" w:rsidRPr="00F91718" w:rsidRDefault="00954601">
      <w:pPr>
        <w:widowControl/>
        <w:rPr>
          <w:rFonts w:asciiTheme="minorEastAsia" w:hAnsiTheme="minorEastAsia"/>
          <w:szCs w:val="24"/>
        </w:rPr>
      </w:pPr>
    </w:p>
    <w:p w14:paraId="44E6708C" w14:textId="77777777" w:rsidR="004E78C0" w:rsidRDefault="004E78C0" w:rsidP="00615C14">
      <w:pPr>
        <w:widowControl/>
        <w:rPr>
          <w:rFonts w:asciiTheme="minorEastAsia" w:hAnsiTheme="minorEastAsia"/>
          <w:szCs w:val="24"/>
        </w:rPr>
      </w:pPr>
    </w:p>
    <w:p w14:paraId="795988BB" w14:textId="77777777" w:rsidR="004E78C0" w:rsidRDefault="004E78C0" w:rsidP="00615C14">
      <w:pPr>
        <w:widowControl/>
        <w:rPr>
          <w:rFonts w:asciiTheme="minorEastAsia" w:hAnsiTheme="minorEastAsia"/>
          <w:szCs w:val="24"/>
        </w:rPr>
      </w:pPr>
    </w:p>
    <w:p w14:paraId="14DC9AFC" w14:textId="77777777" w:rsidR="00323FBB" w:rsidRDefault="00323FBB" w:rsidP="00615C14">
      <w:pPr>
        <w:widowControl/>
        <w:rPr>
          <w:rFonts w:asciiTheme="minorEastAsia" w:hAnsiTheme="minorEastAsia"/>
          <w:szCs w:val="24"/>
        </w:rPr>
      </w:pPr>
    </w:p>
    <w:p w14:paraId="47CFAFAF" w14:textId="77777777" w:rsidR="00F62093" w:rsidRDefault="00F62093" w:rsidP="00615C14">
      <w:pPr>
        <w:widowControl/>
        <w:rPr>
          <w:rFonts w:asciiTheme="minorEastAsia" w:hAnsiTheme="minorEastAsia"/>
          <w:szCs w:val="24"/>
        </w:rPr>
      </w:pPr>
    </w:p>
    <w:p w14:paraId="4A1A3749" w14:textId="77777777" w:rsidR="00F62093" w:rsidRDefault="00F62093" w:rsidP="00615C14">
      <w:pPr>
        <w:widowControl/>
        <w:rPr>
          <w:rFonts w:asciiTheme="minorEastAsia" w:hAnsiTheme="minorEastAsia"/>
          <w:szCs w:val="24"/>
        </w:rPr>
      </w:pPr>
    </w:p>
    <w:p w14:paraId="7954A973" w14:textId="6EBB0B00" w:rsidR="0091688A" w:rsidRDefault="0091688A" w:rsidP="00615C14">
      <w:pPr>
        <w:widowControl/>
        <w:rPr>
          <w:rFonts w:asciiTheme="minorEastAsia" w:hAnsiTheme="minorEastAsia"/>
          <w:szCs w:val="24"/>
        </w:rPr>
      </w:pPr>
    </w:p>
    <w:p w14:paraId="18A2008E" w14:textId="77777777" w:rsidR="007C72F5" w:rsidRDefault="007C72F5" w:rsidP="00615C14">
      <w:pPr>
        <w:widowControl/>
        <w:rPr>
          <w:rFonts w:asciiTheme="minorEastAsia" w:hAnsiTheme="minorEastAsia"/>
          <w:szCs w:val="24"/>
        </w:rPr>
      </w:pPr>
    </w:p>
    <w:p w14:paraId="6F031B50" w14:textId="77777777" w:rsidR="005D5059" w:rsidRPr="00615C14" w:rsidRDefault="005D5059" w:rsidP="00615C14">
      <w:pPr>
        <w:widowControl/>
        <w:rPr>
          <w:rFonts w:asciiTheme="minorEastAsia" w:hAnsiTheme="minorEastAsia"/>
          <w:szCs w:val="24"/>
          <w:highlight w:val="yellow"/>
        </w:rPr>
      </w:pPr>
    </w:p>
    <w:p w14:paraId="1CA27A3D" w14:textId="1EE0F483" w:rsidR="00954601" w:rsidRPr="00615C14" w:rsidRDefault="00FB35DE" w:rsidP="00954601">
      <w:pPr>
        <w:pStyle w:val="ListParagraph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根據以上資料</w:t>
      </w:r>
      <w:r w:rsidR="00DE6920" w:rsidRPr="00615C14">
        <w:rPr>
          <w:rFonts w:asciiTheme="minorEastAsia" w:hAnsiTheme="minorEastAsia" w:hint="eastAsia"/>
          <w:szCs w:val="24"/>
        </w:rPr>
        <w:t>及自行搜集資料</w:t>
      </w:r>
      <w:r w:rsidR="00CA48C9" w:rsidRPr="00615C14">
        <w:rPr>
          <w:rFonts w:asciiTheme="minorEastAsia" w:hAnsiTheme="minorEastAsia" w:hint="eastAsia"/>
          <w:szCs w:val="24"/>
        </w:rPr>
        <w:t>，</w:t>
      </w:r>
      <w:bookmarkStart w:id="1" w:name="_Hlk162432569"/>
      <w:r w:rsidR="005D5059" w:rsidRPr="00615C14">
        <w:rPr>
          <w:rFonts w:asciiTheme="minorEastAsia" w:hAnsiTheme="minorEastAsia" w:hint="eastAsia"/>
          <w:szCs w:val="24"/>
        </w:rPr>
        <w:t>簡介</w:t>
      </w:r>
      <w:r w:rsidR="00560B89" w:rsidRPr="00615C14">
        <w:rPr>
          <w:rFonts w:asciiTheme="minorEastAsia" w:hAnsiTheme="minorEastAsia" w:hint="eastAsia"/>
          <w:szCs w:val="24"/>
        </w:rPr>
        <w:t>良渚</w:t>
      </w:r>
      <w:bookmarkEnd w:id="1"/>
      <w:r w:rsidR="00560B89" w:rsidRPr="00615C14">
        <w:rPr>
          <w:rFonts w:asciiTheme="minorEastAsia" w:hAnsiTheme="minorEastAsia" w:hint="eastAsia"/>
          <w:szCs w:val="24"/>
        </w:rPr>
        <w:t>文化遺址</w:t>
      </w:r>
      <w:r w:rsidR="006F7B66" w:rsidRPr="00615C14">
        <w:rPr>
          <w:rFonts w:asciiTheme="minorEastAsia" w:hAnsiTheme="minorEastAsia" w:hint="eastAsia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54601" w:rsidRPr="001E7073" w14:paraId="25ADA35F" w14:textId="77777777" w:rsidTr="00954601">
        <w:trPr>
          <w:trHeight w:val="3868"/>
        </w:trPr>
        <w:tc>
          <w:tcPr>
            <w:tcW w:w="9736" w:type="dxa"/>
          </w:tcPr>
          <w:p w14:paraId="08B8EB1F" w14:textId="52F4ACDB" w:rsidR="006C3A9E" w:rsidRPr="008B7B37" w:rsidRDefault="000E713D">
            <w:pPr>
              <w:pStyle w:val="ListParagraph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color w:val="FF0000"/>
                <w:szCs w:val="24"/>
              </w:rPr>
            </w:pPr>
            <w:r w:rsidRPr="00615C14">
              <w:rPr>
                <w:rFonts w:asciiTheme="minorEastAsia" w:hAnsiTheme="minorEastAsia" w:hint="eastAsia"/>
                <w:color w:val="FF0000"/>
                <w:szCs w:val="24"/>
              </w:rPr>
              <w:t>良渚文化遺址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是年代距今</w:t>
            </w:r>
            <w:r w:rsidRPr="008B7B37">
              <w:rPr>
                <w:rFonts w:asciiTheme="minorEastAsia" w:hAnsiTheme="minorEastAsia"/>
                <w:color w:val="FF0000"/>
                <w:szCs w:val="24"/>
              </w:rPr>
              <w:t>5300</w:t>
            </w:r>
            <w:r w:rsidR="00FB35DE" w:rsidRPr="008B7B37">
              <w:rPr>
                <w:rFonts w:asciiTheme="minorEastAsia" w:hAnsiTheme="minorEastAsia" w:hint="eastAsia"/>
                <w:color w:val="FF0000"/>
                <w:szCs w:val="24"/>
              </w:rPr>
              <w:t>至</w:t>
            </w:r>
            <w:r w:rsidRPr="008B7B37">
              <w:rPr>
                <w:rFonts w:asciiTheme="minorEastAsia" w:hAnsiTheme="minorEastAsia"/>
                <w:color w:val="FF0000"/>
                <w:szCs w:val="24"/>
              </w:rPr>
              <w:t>4300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年</w:t>
            </w:r>
            <w:r w:rsidR="006C3A9E" w:rsidRPr="008B7B37">
              <w:rPr>
                <w:rFonts w:asciiTheme="minorEastAsia" w:hAnsiTheme="minorEastAsia" w:hint="eastAsia"/>
                <w:color w:val="FF0000"/>
                <w:szCs w:val="24"/>
              </w:rPr>
              <w:t>的古城群遺址，在</w:t>
            </w:r>
            <w:r w:rsidR="006C3A9E" w:rsidRPr="008B7B37">
              <w:rPr>
                <w:rFonts w:asciiTheme="minorEastAsia" w:hAnsiTheme="minorEastAsia"/>
                <w:color w:val="FF0000"/>
                <w:szCs w:val="24"/>
              </w:rPr>
              <w:t>2007</w:t>
            </w:r>
            <w:r w:rsidR="006C3A9E" w:rsidRPr="008B7B37">
              <w:rPr>
                <w:rFonts w:asciiTheme="minorEastAsia" w:hAnsiTheme="minorEastAsia" w:hint="eastAsia"/>
                <w:color w:val="FF0000"/>
                <w:szCs w:val="24"/>
              </w:rPr>
              <w:t>年被發現並得到當局的確認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。</w:t>
            </w:r>
          </w:p>
          <w:p w14:paraId="203829F0" w14:textId="78354E3F" w:rsidR="00954601" w:rsidRPr="00615C14" w:rsidRDefault="000E713D" w:rsidP="00615C14">
            <w:pPr>
              <w:pStyle w:val="ListParagraph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color w:val="FF0000"/>
                <w:szCs w:val="24"/>
              </w:rPr>
            </w:pP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良渚古城</w:t>
            </w:r>
            <w:r w:rsidR="0096320B" w:rsidRPr="008B7B37">
              <w:rPr>
                <w:rFonts w:asciiTheme="minorEastAsia" w:hAnsiTheme="minorEastAsia" w:hint="eastAsia"/>
                <w:color w:val="FF0000"/>
                <w:szCs w:val="24"/>
              </w:rPr>
              <w:t>於</w:t>
            </w:r>
            <w:r w:rsidRPr="008B7B37">
              <w:rPr>
                <w:rFonts w:asciiTheme="minorEastAsia" w:hAnsiTheme="minorEastAsia"/>
                <w:color w:val="FF0000"/>
                <w:szCs w:val="24"/>
              </w:rPr>
              <w:t>2019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年</w:t>
            </w:r>
            <w:r w:rsidR="007C72F5" w:rsidRPr="008B7B37">
              <w:rPr>
                <w:rFonts w:asciiTheme="minorEastAsia" w:hAnsiTheme="minorEastAsia" w:hint="eastAsia"/>
                <w:color w:val="FF0000"/>
                <w:szCs w:val="24"/>
              </w:rPr>
              <w:t>成功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申</w:t>
            </w:r>
            <w:r w:rsidR="007C72F5" w:rsidRPr="008B7B37">
              <w:rPr>
                <w:rFonts w:asciiTheme="minorEastAsia" w:hAnsiTheme="minorEastAsia" w:hint="eastAsia"/>
                <w:color w:val="FF0000"/>
                <w:szCs w:val="24"/>
              </w:rPr>
              <w:t>請列入世界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遺</w:t>
            </w:r>
            <w:r w:rsidR="007C72F5" w:rsidRPr="008B7B37">
              <w:rPr>
                <w:rFonts w:asciiTheme="minorEastAsia" w:hAnsiTheme="minorEastAsia" w:hint="eastAsia"/>
                <w:color w:val="FF0000"/>
                <w:szCs w:val="24"/>
              </w:rPr>
              <w:t>產名錄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。</w:t>
            </w:r>
          </w:p>
        </w:tc>
      </w:tr>
    </w:tbl>
    <w:p w14:paraId="5E934A80" w14:textId="478ABC88" w:rsidR="004323C9" w:rsidRPr="001E7073" w:rsidRDefault="004323C9" w:rsidP="00954601">
      <w:pPr>
        <w:widowControl/>
        <w:rPr>
          <w:rFonts w:asciiTheme="minorEastAsia" w:hAnsiTheme="minorEastAsia"/>
          <w:szCs w:val="24"/>
        </w:rPr>
      </w:pPr>
    </w:p>
    <w:p w14:paraId="0929E6EA" w14:textId="7B89DB59" w:rsidR="00954601" w:rsidRPr="00615C14" w:rsidRDefault="007A26B9" w:rsidP="00615C14">
      <w:pPr>
        <w:pStyle w:val="ListParagraph"/>
        <w:widowControl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615C14">
        <w:rPr>
          <w:rFonts w:asciiTheme="minorEastAsia" w:hAnsiTheme="minorEastAsia" w:hint="eastAsia"/>
          <w:szCs w:val="24"/>
        </w:rPr>
        <w:t>參考以上資料</w:t>
      </w:r>
      <w:r w:rsidR="00DE6920" w:rsidRPr="001E7073">
        <w:rPr>
          <w:rFonts w:asciiTheme="minorEastAsia" w:hAnsiTheme="minorEastAsia" w:hint="eastAsia"/>
          <w:szCs w:val="24"/>
        </w:rPr>
        <w:t>，</w:t>
      </w:r>
      <w:r w:rsidR="008811B6">
        <w:rPr>
          <w:rFonts w:asciiTheme="minorEastAsia" w:hAnsiTheme="minorEastAsia" w:hint="eastAsia"/>
          <w:szCs w:val="24"/>
        </w:rPr>
        <w:t>簡單介紹</w:t>
      </w:r>
      <w:r w:rsidR="006B7E67" w:rsidRPr="00615C14">
        <w:rPr>
          <w:rFonts w:asciiTheme="minorEastAsia" w:hAnsiTheme="minorEastAsia" w:hint="eastAsia"/>
          <w:b/>
          <w:szCs w:val="24"/>
          <w:u w:val="single"/>
        </w:rPr>
        <w:t>兩件</w:t>
      </w:r>
      <w:r w:rsidR="006B7E67">
        <w:rPr>
          <w:rFonts w:asciiTheme="minorEastAsia" w:hAnsiTheme="minorEastAsia" w:hint="eastAsia"/>
          <w:szCs w:val="24"/>
        </w:rPr>
        <w:t>與</w:t>
      </w:r>
      <w:r w:rsidR="007C72F5">
        <w:rPr>
          <w:rFonts w:asciiTheme="minorEastAsia" w:hAnsiTheme="minorEastAsia" w:hint="eastAsia"/>
          <w:szCs w:val="24"/>
        </w:rPr>
        <w:t>良渚文化</w:t>
      </w:r>
      <w:r w:rsidR="006B7E67">
        <w:rPr>
          <w:rFonts w:asciiTheme="minorEastAsia" w:hAnsiTheme="minorEastAsia" w:hint="eastAsia"/>
          <w:szCs w:val="24"/>
        </w:rPr>
        <w:t>相關</w:t>
      </w:r>
      <w:r w:rsidR="007C72F5">
        <w:rPr>
          <w:rFonts w:asciiTheme="minorEastAsia" w:hAnsiTheme="minorEastAsia" w:hint="eastAsia"/>
          <w:szCs w:val="24"/>
        </w:rPr>
        <w:t>的</w:t>
      </w:r>
      <w:r w:rsidR="006B7E67">
        <w:rPr>
          <w:rFonts w:asciiTheme="minorEastAsia" w:hAnsiTheme="minorEastAsia" w:hint="eastAsia"/>
          <w:szCs w:val="24"/>
        </w:rPr>
        <w:t>出土</w:t>
      </w:r>
      <w:r w:rsidR="007C72F5">
        <w:rPr>
          <w:rFonts w:asciiTheme="minorEastAsia" w:hAnsiTheme="minorEastAsia" w:hint="eastAsia"/>
          <w:szCs w:val="24"/>
        </w:rPr>
        <w:t>文物</w:t>
      </w:r>
      <w:r w:rsidR="008811B6">
        <w:rPr>
          <w:rFonts w:asciiTheme="minorEastAsia" w:hAnsiTheme="minorEastAsia" w:hint="eastAsia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54601" w:rsidRPr="00F91718" w14:paraId="4B0C0A53" w14:textId="77777777" w:rsidTr="00761016">
        <w:trPr>
          <w:trHeight w:val="3868"/>
        </w:trPr>
        <w:tc>
          <w:tcPr>
            <w:tcW w:w="9736" w:type="dxa"/>
          </w:tcPr>
          <w:p w14:paraId="278C43A6" w14:textId="0F04152A" w:rsidR="00954601" w:rsidRPr="007A26B9" w:rsidRDefault="0081129B" w:rsidP="009B21EC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color w:val="FF0000"/>
                <w:szCs w:val="24"/>
              </w:rPr>
              <w:t>提示：</w:t>
            </w:r>
            <w:r w:rsidR="008811B6">
              <w:rPr>
                <w:rFonts w:asciiTheme="minorEastAsia" w:hAnsiTheme="minorEastAsia" w:hint="eastAsia"/>
                <w:color w:val="FF0000"/>
                <w:szCs w:val="24"/>
              </w:rPr>
              <w:t>出土</w:t>
            </w:r>
            <w:r w:rsidR="007C72F5" w:rsidRPr="008811B6">
              <w:rPr>
                <w:rFonts w:asciiTheme="minorEastAsia" w:hAnsiTheme="minorEastAsia" w:hint="eastAsia"/>
                <w:color w:val="FF0000"/>
                <w:szCs w:val="24"/>
              </w:rPr>
              <w:t>玉器、石器、骨器例如「玉琮」、「玉鉞」等</w:t>
            </w:r>
            <w:r w:rsidR="006B7E67">
              <w:rPr>
                <w:rFonts w:asciiTheme="minorEastAsia" w:hAnsiTheme="minorEastAsia" w:hint="eastAsia"/>
                <w:color w:val="FF0000"/>
                <w:szCs w:val="24"/>
              </w:rPr>
              <w:t>。</w:t>
            </w:r>
          </w:p>
        </w:tc>
      </w:tr>
    </w:tbl>
    <w:p w14:paraId="27F4F5E2" w14:textId="77777777" w:rsidR="00954601" w:rsidRPr="00F91718" w:rsidRDefault="00954601" w:rsidP="00954601">
      <w:pPr>
        <w:widowControl/>
        <w:rPr>
          <w:rFonts w:asciiTheme="minorEastAsia" w:hAnsiTheme="minorEastAsia"/>
          <w:szCs w:val="24"/>
        </w:rPr>
      </w:pPr>
    </w:p>
    <w:p w14:paraId="5F1BA67E" w14:textId="085094C9" w:rsidR="004323C9" w:rsidRPr="001816E0" w:rsidRDefault="001816E0" w:rsidP="001816E0">
      <w:pPr>
        <w:widowControl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7DB84287" w14:textId="77777777" w:rsidR="001B53E8" w:rsidRPr="00F91718" w:rsidRDefault="001B53E8" w:rsidP="00954601">
      <w:pPr>
        <w:pStyle w:val="ListParagraph"/>
        <w:widowControl/>
        <w:numPr>
          <w:ilvl w:val="0"/>
          <w:numId w:val="4"/>
        </w:numPr>
        <w:ind w:leftChars="0"/>
        <w:rPr>
          <w:rFonts w:asciiTheme="minorEastAsia" w:hAnsiTheme="minorEastAsia" w:cs="Times New Roman"/>
          <w:b/>
          <w:spacing w:val="20"/>
          <w:kern w:val="0"/>
          <w:szCs w:val="24"/>
          <w:u w:val="thick"/>
          <w:shd w:val="clear" w:color="auto" w:fill="FFF2CC" w:themeFill="accent4" w:themeFillTint="33"/>
        </w:rPr>
      </w:pPr>
      <w:r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lastRenderedPageBreak/>
        <w:t>考察</w:t>
      </w:r>
      <w:r w:rsidR="007B4AA3"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t>期間的</w:t>
      </w:r>
      <w:r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t>任務</w:t>
      </w:r>
      <w:r w:rsidR="009A4275"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t>（一）</w:t>
      </w:r>
    </w:p>
    <w:p w14:paraId="20DD3CAA" w14:textId="77777777" w:rsidR="00A21EAA" w:rsidRPr="00F91718" w:rsidRDefault="00A21EAA">
      <w:pPr>
        <w:widowControl/>
        <w:rPr>
          <w:rFonts w:asciiTheme="minorEastAsia" w:hAnsiTheme="minorEastAsia"/>
          <w:szCs w:val="24"/>
        </w:rPr>
      </w:pPr>
    </w:p>
    <w:p w14:paraId="626D16E7" w14:textId="2334EEC1" w:rsidR="00726F52" w:rsidRPr="00F91718" w:rsidRDefault="00726F52">
      <w:pPr>
        <w:widowControl/>
        <w:rPr>
          <w:rFonts w:asciiTheme="minorEastAsia" w:hAnsiTheme="minorEastAsia"/>
          <w:szCs w:val="24"/>
        </w:rPr>
      </w:pPr>
      <w:r w:rsidRPr="00F91718">
        <w:rPr>
          <w:rFonts w:asciiTheme="minorEastAsia" w:hAnsiTheme="minorEastAsia" w:hint="eastAsia"/>
          <w:szCs w:val="24"/>
        </w:rPr>
        <w:t>根據考察的所得，</w:t>
      </w:r>
      <w:r w:rsidR="000A6363">
        <w:rPr>
          <w:rFonts w:asciiTheme="minorEastAsia" w:hAnsiTheme="minorEastAsia" w:hint="eastAsia"/>
          <w:szCs w:val="24"/>
        </w:rPr>
        <w:t>挑選</w:t>
      </w:r>
      <w:r w:rsidR="00615C14">
        <w:rPr>
          <w:rFonts w:asciiTheme="minorEastAsia" w:hAnsiTheme="minorEastAsia" w:hint="eastAsia"/>
          <w:szCs w:val="24"/>
        </w:rPr>
        <w:t>能</w:t>
      </w:r>
      <w:r w:rsidR="004323C9" w:rsidRPr="00F91718">
        <w:rPr>
          <w:rFonts w:asciiTheme="minorEastAsia" w:hAnsiTheme="minorEastAsia" w:hint="eastAsia"/>
          <w:szCs w:val="24"/>
        </w:rPr>
        <w:t>體現</w:t>
      </w:r>
      <w:r w:rsidR="004323C9">
        <w:rPr>
          <w:rFonts w:asciiTheme="minorEastAsia" w:hAnsiTheme="minorEastAsia" w:hint="eastAsia"/>
          <w:szCs w:val="24"/>
        </w:rPr>
        <w:t>良渚文化</w:t>
      </w:r>
      <w:r w:rsidR="000F1274">
        <w:rPr>
          <w:rFonts w:asciiTheme="minorEastAsia" w:hAnsiTheme="minorEastAsia" w:hint="eastAsia"/>
          <w:szCs w:val="24"/>
        </w:rPr>
        <w:t>特色</w:t>
      </w:r>
      <w:r w:rsidR="004323C9">
        <w:rPr>
          <w:rFonts w:asciiTheme="minorEastAsia" w:hAnsiTheme="minorEastAsia" w:hint="eastAsia"/>
          <w:szCs w:val="24"/>
        </w:rPr>
        <w:t>的</w:t>
      </w:r>
      <w:r w:rsidR="008E720C">
        <w:rPr>
          <w:rFonts w:asciiTheme="minorEastAsia" w:hAnsiTheme="minorEastAsia" w:hint="eastAsia"/>
          <w:szCs w:val="24"/>
        </w:rPr>
        <w:t>出土</w:t>
      </w:r>
      <w:r w:rsidR="004323C9">
        <w:rPr>
          <w:rFonts w:asciiTheme="minorEastAsia" w:hAnsiTheme="minorEastAsia" w:hint="eastAsia"/>
          <w:szCs w:val="24"/>
        </w:rPr>
        <w:t>文物，</w:t>
      </w:r>
      <w:r w:rsidR="00252104">
        <w:rPr>
          <w:rFonts w:asciiTheme="minorEastAsia" w:hAnsiTheme="minorEastAsia" w:hint="eastAsia"/>
          <w:szCs w:val="24"/>
        </w:rPr>
        <w:t>拍攝相關相片並簡單</w:t>
      </w:r>
      <w:r w:rsidRPr="00F91718">
        <w:rPr>
          <w:rFonts w:asciiTheme="minorEastAsia" w:hAnsiTheme="minorEastAsia" w:hint="eastAsia"/>
          <w:szCs w:val="24"/>
        </w:rPr>
        <w:t>說明</w:t>
      </w:r>
      <w:r w:rsidR="004323C9">
        <w:rPr>
          <w:rFonts w:asciiTheme="minorEastAsia" w:hAnsiTheme="minorEastAsia" w:hint="eastAsia"/>
          <w:szCs w:val="24"/>
        </w:rPr>
        <w:t>這些</w:t>
      </w:r>
      <w:r w:rsidR="005D5059">
        <w:rPr>
          <w:rFonts w:asciiTheme="minorEastAsia" w:hAnsiTheme="minorEastAsia" w:hint="eastAsia"/>
          <w:szCs w:val="24"/>
        </w:rPr>
        <w:t>出土</w:t>
      </w:r>
      <w:r w:rsidR="007A26B9">
        <w:rPr>
          <w:rFonts w:asciiTheme="minorEastAsia" w:hAnsiTheme="minorEastAsia" w:hint="eastAsia"/>
          <w:szCs w:val="24"/>
        </w:rPr>
        <w:t>文物</w:t>
      </w:r>
      <w:r w:rsidR="005D5059">
        <w:rPr>
          <w:rFonts w:asciiTheme="minorEastAsia" w:hAnsiTheme="minorEastAsia" w:hint="eastAsia"/>
          <w:szCs w:val="24"/>
        </w:rPr>
        <w:t>的</w:t>
      </w:r>
      <w:r w:rsidR="004323C9">
        <w:rPr>
          <w:rFonts w:asciiTheme="minorEastAsia" w:hAnsiTheme="minorEastAsia" w:hint="eastAsia"/>
          <w:szCs w:val="24"/>
        </w:rPr>
        <w:t>保育價值</w:t>
      </w:r>
      <w:r w:rsidRPr="00F91718">
        <w:rPr>
          <w:rFonts w:asciiTheme="minorEastAsia" w:hAnsiTheme="minorEastAsia" w:hint="eastAsia"/>
          <w:szCs w:val="24"/>
        </w:rPr>
        <w:t>。</w:t>
      </w:r>
    </w:p>
    <w:p w14:paraId="0E149142" w14:textId="77777777" w:rsidR="00726F52" w:rsidRPr="00F91718" w:rsidRDefault="00726F52">
      <w:pPr>
        <w:widowControl/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F91718" w:rsidRPr="00F91718" w14:paraId="79E012CD" w14:textId="77777777" w:rsidTr="00364C27">
        <w:trPr>
          <w:trHeight w:val="37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61555B0" w14:textId="0CCF015E" w:rsidR="006F7B66" w:rsidRPr="00F91718" w:rsidRDefault="00507328" w:rsidP="00E5060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範疇</w:t>
            </w:r>
          </w:p>
        </w:tc>
        <w:tc>
          <w:tcPr>
            <w:tcW w:w="7898" w:type="dxa"/>
            <w:shd w:val="clear" w:color="auto" w:fill="E7E6E6" w:themeFill="background2"/>
            <w:vAlign w:val="center"/>
          </w:tcPr>
          <w:p w14:paraId="3B850A11" w14:textId="56AC959D" w:rsidR="006F7B66" w:rsidRPr="00507328" w:rsidRDefault="00507328" w:rsidP="00507328">
            <w:pPr>
              <w:widowControl/>
              <w:jc w:val="center"/>
              <w:rPr>
                <w:rFonts w:asciiTheme="minorEastAsia" w:hAnsiTheme="minorEastAsia"/>
                <w:szCs w:val="24"/>
                <w:highlight w:val="yellow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相片及說明其</w:t>
            </w:r>
            <w:r w:rsidR="001816E0" w:rsidRPr="00615C14">
              <w:rPr>
                <w:rFonts w:asciiTheme="minorEastAsia" w:hAnsiTheme="minorEastAsia" w:hint="eastAsia"/>
                <w:szCs w:val="24"/>
              </w:rPr>
              <w:t>反映的保育價值</w:t>
            </w:r>
          </w:p>
        </w:tc>
      </w:tr>
      <w:tr w:rsidR="00F91718" w:rsidRPr="00F91718" w14:paraId="640F609E" w14:textId="77777777" w:rsidTr="000F1274">
        <w:trPr>
          <w:trHeight w:val="3843"/>
        </w:trPr>
        <w:tc>
          <w:tcPr>
            <w:tcW w:w="1838" w:type="dxa"/>
            <w:vAlign w:val="center"/>
          </w:tcPr>
          <w:p w14:paraId="243E4081" w14:textId="40B839C8" w:rsidR="006F7B66" w:rsidRPr="00323FBB" w:rsidRDefault="005D5059" w:rsidP="00A21EAA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出土</w:t>
            </w:r>
            <w:r w:rsidRPr="00615C14">
              <w:rPr>
                <w:rFonts w:asciiTheme="minorEastAsia" w:hAnsiTheme="minorEastAsia"/>
                <w:szCs w:val="24"/>
              </w:rPr>
              <w:t>文物1</w:t>
            </w:r>
          </w:p>
        </w:tc>
        <w:tc>
          <w:tcPr>
            <w:tcW w:w="7898" w:type="dxa"/>
          </w:tcPr>
          <w:p w14:paraId="6FC597C5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相片</w:t>
            </w:r>
          </w:p>
          <w:p w14:paraId="5FCA157E" w14:textId="77777777" w:rsidR="00A21EAA" w:rsidRPr="00615C14" w:rsidRDefault="00A21EAA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56D4B4E7" w14:textId="77777777" w:rsidR="000F1274" w:rsidRPr="00615C14" w:rsidRDefault="000F1274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14262772" w14:textId="77777777" w:rsidR="000F1274" w:rsidRPr="00615C14" w:rsidRDefault="000F1274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716642D7" w14:textId="77777777" w:rsidR="000F1274" w:rsidRPr="00615C14" w:rsidRDefault="000F1274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15257C63" w14:textId="77777777" w:rsidR="000F1274" w:rsidRPr="00615C14" w:rsidRDefault="000F1274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31E1A48A" w14:textId="77777777" w:rsidR="000F1274" w:rsidRPr="00615C14" w:rsidRDefault="000F1274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033D5C6D" w14:textId="2CA4339A" w:rsidR="000F1274" w:rsidRPr="00323FBB" w:rsidRDefault="000F1274" w:rsidP="004323C9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保育價值</w:t>
            </w:r>
          </w:p>
        </w:tc>
      </w:tr>
      <w:tr w:rsidR="00F91718" w:rsidRPr="00F91718" w14:paraId="3FAB4DEA" w14:textId="77777777" w:rsidTr="000F1274">
        <w:trPr>
          <w:trHeight w:val="3843"/>
        </w:trPr>
        <w:tc>
          <w:tcPr>
            <w:tcW w:w="1838" w:type="dxa"/>
            <w:vAlign w:val="center"/>
          </w:tcPr>
          <w:p w14:paraId="3CFA6EE2" w14:textId="768D750F" w:rsidR="006F7B66" w:rsidRPr="00323FBB" w:rsidRDefault="0025286E" w:rsidP="00E5060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323FBB">
              <w:rPr>
                <w:rFonts w:asciiTheme="minorEastAsia" w:hAnsiTheme="minorEastAsia" w:hint="eastAsia"/>
                <w:szCs w:val="24"/>
              </w:rPr>
              <w:t>出土</w:t>
            </w:r>
            <w:r w:rsidR="005D5059" w:rsidRPr="00323FBB">
              <w:rPr>
                <w:rFonts w:asciiTheme="minorEastAsia" w:hAnsiTheme="minorEastAsia" w:hint="eastAsia"/>
                <w:szCs w:val="24"/>
              </w:rPr>
              <w:t>文物</w:t>
            </w:r>
            <w:r w:rsidR="005D5059" w:rsidRPr="00323FBB">
              <w:rPr>
                <w:rFonts w:asciiTheme="minorEastAsia" w:hAnsiTheme="minorEastAsia"/>
                <w:szCs w:val="24"/>
              </w:rPr>
              <w:t>2</w:t>
            </w:r>
          </w:p>
        </w:tc>
        <w:tc>
          <w:tcPr>
            <w:tcW w:w="7898" w:type="dxa"/>
          </w:tcPr>
          <w:p w14:paraId="0AE46C3A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相片</w:t>
            </w:r>
          </w:p>
          <w:p w14:paraId="781895AE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62331F48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5E43FCB9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714330CD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39B42262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4E97D175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6E7CAAA4" w14:textId="314B56C3" w:rsidR="00A21EAA" w:rsidRPr="00323FBB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保育價值</w:t>
            </w:r>
          </w:p>
        </w:tc>
      </w:tr>
      <w:tr w:rsidR="006F7B66" w:rsidRPr="00F91718" w14:paraId="05A21700" w14:textId="77777777" w:rsidTr="000F1274">
        <w:trPr>
          <w:trHeight w:val="3843"/>
        </w:trPr>
        <w:tc>
          <w:tcPr>
            <w:tcW w:w="1838" w:type="dxa"/>
            <w:vAlign w:val="center"/>
          </w:tcPr>
          <w:p w14:paraId="29D8D90F" w14:textId="0313F17D" w:rsidR="006F7B66" w:rsidRPr="00323FBB" w:rsidRDefault="00615C14" w:rsidP="00E5060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出土文物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7898" w:type="dxa"/>
          </w:tcPr>
          <w:p w14:paraId="33C52CED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相片</w:t>
            </w:r>
          </w:p>
          <w:p w14:paraId="2E5944A9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31ABC297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2554E15D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445683B4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46075ED7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23CE3EC4" w14:textId="77777777" w:rsidR="000F1274" w:rsidRPr="00615C14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7F0BE020" w14:textId="3A4AA4D1" w:rsidR="00E50608" w:rsidRPr="00323FBB" w:rsidRDefault="000F1274" w:rsidP="000F1274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保育價值</w:t>
            </w:r>
          </w:p>
        </w:tc>
      </w:tr>
    </w:tbl>
    <w:p w14:paraId="133C5C99" w14:textId="77D3041B" w:rsidR="009A4275" w:rsidRPr="00F91718" w:rsidRDefault="009A4275">
      <w:pPr>
        <w:widowControl/>
        <w:rPr>
          <w:rFonts w:asciiTheme="minorEastAsia" w:hAnsiTheme="minorEastAsia" w:cs="Times New Roman"/>
          <w:b/>
          <w:spacing w:val="20"/>
          <w:kern w:val="0"/>
          <w:szCs w:val="24"/>
          <w:u w:val="thick"/>
          <w:shd w:val="clear" w:color="auto" w:fill="FFF2CC" w:themeFill="accent4" w:themeFillTint="33"/>
        </w:rPr>
      </w:pPr>
      <w:r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lastRenderedPageBreak/>
        <w:t>考察期間的任務（二）</w:t>
      </w:r>
    </w:p>
    <w:p w14:paraId="6B2C07A5" w14:textId="7199DAF1" w:rsidR="004323C9" w:rsidRPr="00615C14" w:rsidRDefault="00DE6920">
      <w:pPr>
        <w:widowControl/>
        <w:rPr>
          <w:rFonts w:asciiTheme="minorEastAsia" w:hAnsiTheme="minorEastAsia"/>
          <w:szCs w:val="24"/>
        </w:rPr>
      </w:pPr>
      <w:r w:rsidRPr="00323FBB">
        <w:rPr>
          <w:rFonts w:asciiTheme="minorEastAsia" w:hAnsiTheme="minorEastAsia" w:hint="eastAsia"/>
          <w:szCs w:val="24"/>
        </w:rPr>
        <w:t>國家採用</w:t>
      </w:r>
      <w:r w:rsidR="007A26B9" w:rsidRPr="00323FBB">
        <w:rPr>
          <w:rFonts w:asciiTheme="minorEastAsia" w:hAnsiTheme="minorEastAsia" w:hint="eastAsia"/>
          <w:szCs w:val="24"/>
        </w:rPr>
        <w:t>其他</w:t>
      </w:r>
      <w:r w:rsidRPr="00323FBB">
        <w:rPr>
          <w:rFonts w:asciiTheme="minorEastAsia" w:hAnsiTheme="minorEastAsia" w:hint="eastAsia"/>
          <w:szCs w:val="24"/>
        </w:rPr>
        <w:t>不同方式保</w:t>
      </w:r>
      <w:r w:rsidR="00C72B56">
        <w:rPr>
          <w:rFonts w:asciiTheme="minorEastAsia" w:hAnsiTheme="minorEastAsia" w:hint="eastAsia"/>
          <w:szCs w:val="24"/>
        </w:rPr>
        <w:t>育</w:t>
      </w:r>
      <w:r w:rsidRPr="00323FBB">
        <w:rPr>
          <w:rFonts w:asciiTheme="minorEastAsia" w:hAnsiTheme="minorEastAsia" w:hint="eastAsia"/>
          <w:szCs w:val="24"/>
        </w:rPr>
        <w:t>文物及傳承中華文化</w:t>
      </w:r>
      <w:r w:rsidR="009A4275" w:rsidRPr="00323FBB">
        <w:rPr>
          <w:rFonts w:asciiTheme="minorEastAsia" w:hAnsiTheme="minorEastAsia" w:hint="eastAsia"/>
          <w:szCs w:val="24"/>
        </w:rPr>
        <w:t>。</w:t>
      </w:r>
      <w:r w:rsidR="00ED4F34">
        <w:rPr>
          <w:rFonts w:asciiTheme="minorEastAsia" w:hAnsiTheme="minorEastAsia" w:hint="eastAsia"/>
          <w:szCs w:val="24"/>
        </w:rPr>
        <w:t>請</w:t>
      </w:r>
      <w:r w:rsidR="004323C9" w:rsidRPr="00323FBB">
        <w:rPr>
          <w:rFonts w:asciiTheme="minorEastAsia" w:hAnsiTheme="minorEastAsia" w:hint="eastAsia"/>
          <w:szCs w:val="24"/>
        </w:rPr>
        <w:t>拍攝</w:t>
      </w:r>
      <w:r w:rsidR="007A26B9" w:rsidRPr="00323FBB">
        <w:rPr>
          <w:rFonts w:asciiTheme="minorEastAsia" w:hAnsiTheme="minorEastAsia" w:hint="eastAsia"/>
          <w:szCs w:val="24"/>
        </w:rPr>
        <w:t>相</w:t>
      </w:r>
      <w:r w:rsidR="004323C9" w:rsidRPr="00323FBB">
        <w:rPr>
          <w:rFonts w:asciiTheme="minorEastAsia" w:hAnsiTheme="minorEastAsia" w:hint="eastAsia"/>
          <w:szCs w:val="24"/>
        </w:rPr>
        <w:t>片</w:t>
      </w:r>
      <w:r w:rsidR="007A26B9" w:rsidRPr="00323FBB">
        <w:rPr>
          <w:rFonts w:asciiTheme="minorEastAsia" w:hAnsiTheme="minorEastAsia" w:hint="eastAsia"/>
          <w:szCs w:val="24"/>
        </w:rPr>
        <w:t>及</w:t>
      </w:r>
      <w:r w:rsidR="004323C9" w:rsidRPr="00323FBB">
        <w:rPr>
          <w:rFonts w:asciiTheme="minorEastAsia" w:hAnsiTheme="minorEastAsia" w:hint="eastAsia"/>
          <w:szCs w:val="24"/>
        </w:rPr>
        <w:t>簡單說明</w:t>
      </w:r>
      <w:r w:rsidR="00ED4F34" w:rsidRPr="00ED4F34">
        <w:rPr>
          <w:rFonts w:asciiTheme="minorEastAsia" w:hAnsiTheme="minorEastAsia" w:hint="eastAsia"/>
          <w:szCs w:val="24"/>
        </w:rPr>
        <w:t>國家</w:t>
      </w:r>
      <w:r w:rsidR="00ED4F34">
        <w:rPr>
          <w:rFonts w:asciiTheme="minorEastAsia" w:hAnsiTheme="minorEastAsia" w:hint="eastAsia"/>
          <w:szCs w:val="24"/>
        </w:rPr>
        <w:t>如何</w:t>
      </w:r>
      <w:r w:rsidR="00ED4F34" w:rsidRPr="00ED4F34">
        <w:rPr>
          <w:rFonts w:asciiTheme="minorEastAsia" w:hAnsiTheme="minorEastAsia" w:hint="eastAsia"/>
          <w:szCs w:val="24"/>
        </w:rPr>
        <w:t>保育良渚文化</w:t>
      </w:r>
      <w:r w:rsidR="009A4275" w:rsidRPr="00323FBB">
        <w:rPr>
          <w:rFonts w:asciiTheme="minorEastAsia" w:hAnsiTheme="minorEastAsia" w:hint="eastAsia"/>
          <w:szCs w:val="24"/>
        </w:rPr>
        <w:t>。</w:t>
      </w:r>
      <w:r w:rsidR="00827223" w:rsidRPr="00323FBB">
        <w:rPr>
          <w:rFonts w:asciiTheme="minorEastAsia" w:hAnsiTheme="minorEastAsia"/>
          <w:szCs w:val="24"/>
        </w:rPr>
        <w:t xml:space="preserve"> </w:t>
      </w:r>
      <w:r w:rsidR="004323C9" w:rsidRPr="00323FBB">
        <w:rPr>
          <w:rFonts w:asciiTheme="minorEastAsia" w:hAnsiTheme="minorEastAsia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323C9" w:rsidRPr="00323FBB" w14:paraId="28FD3E09" w14:textId="77777777" w:rsidTr="00507328">
        <w:tc>
          <w:tcPr>
            <w:tcW w:w="1980" w:type="dxa"/>
            <w:shd w:val="clear" w:color="auto" w:fill="E7E6E6" w:themeFill="background2"/>
            <w:vAlign w:val="center"/>
          </w:tcPr>
          <w:p w14:paraId="6C1C2D18" w14:textId="7CD62B63" w:rsidR="004323C9" w:rsidRPr="00323FBB" w:rsidRDefault="004323C9" w:rsidP="004323C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323FBB">
              <w:rPr>
                <w:rFonts w:asciiTheme="minorEastAsia" w:hAnsiTheme="minorEastAsia" w:hint="eastAsia"/>
                <w:szCs w:val="24"/>
              </w:rPr>
              <w:t>文物保育的方法</w:t>
            </w:r>
          </w:p>
        </w:tc>
        <w:tc>
          <w:tcPr>
            <w:tcW w:w="7756" w:type="dxa"/>
            <w:shd w:val="clear" w:color="auto" w:fill="E7E6E6" w:themeFill="background2"/>
          </w:tcPr>
          <w:p w14:paraId="0FFAF106" w14:textId="33217454" w:rsidR="004323C9" w:rsidRPr="00323FBB" w:rsidRDefault="007A26B9" w:rsidP="004323C9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323FBB">
              <w:rPr>
                <w:rFonts w:asciiTheme="minorEastAsia" w:hAnsiTheme="minorEastAsia" w:hint="eastAsia"/>
                <w:szCs w:val="24"/>
              </w:rPr>
              <w:t>相片</w:t>
            </w:r>
            <w:r w:rsidR="004323C9" w:rsidRPr="00323FBB">
              <w:rPr>
                <w:rFonts w:asciiTheme="minorEastAsia" w:hAnsiTheme="minorEastAsia" w:hint="eastAsia"/>
                <w:szCs w:val="24"/>
              </w:rPr>
              <w:t>及說明</w:t>
            </w:r>
            <w:r w:rsidR="00DE6920" w:rsidRPr="00323FBB">
              <w:rPr>
                <w:rFonts w:asciiTheme="minorEastAsia" w:hAnsiTheme="minorEastAsia" w:hint="eastAsia"/>
                <w:szCs w:val="24"/>
              </w:rPr>
              <w:t>方法對文物保育的</w:t>
            </w:r>
            <w:r w:rsidR="00DE6920" w:rsidRPr="00615C14">
              <w:rPr>
                <w:rFonts w:asciiTheme="minorEastAsia" w:hAnsiTheme="minorEastAsia" w:hint="eastAsia"/>
                <w:szCs w:val="24"/>
              </w:rPr>
              <w:t>作用</w:t>
            </w:r>
          </w:p>
        </w:tc>
      </w:tr>
      <w:tr w:rsidR="004323C9" w:rsidRPr="00323FBB" w14:paraId="2ACBFC25" w14:textId="77777777" w:rsidTr="007A26B9">
        <w:trPr>
          <w:trHeight w:val="5102"/>
        </w:trPr>
        <w:tc>
          <w:tcPr>
            <w:tcW w:w="1980" w:type="dxa"/>
          </w:tcPr>
          <w:p w14:paraId="1641A45B" w14:textId="5243F3BB" w:rsidR="004323C9" w:rsidRPr="00323FBB" w:rsidRDefault="000E713D" w:rsidP="004323C9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color w:val="FF0000"/>
                <w:szCs w:val="24"/>
              </w:rPr>
              <w:t>提示：數位多媒體及</w:t>
            </w:r>
            <w:r w:rsidRPr="00615C14">
              <w:rPr>
                <w:rFonts w:asciiTheme="minorEastAsia" w:hAnsiTheme="minorEastAsia"/>
                <w:color w:val="FF0000"/>
                <w:szCs w:val="24"/>
              </w:rPr>
              <w:t>3D</w:t>
            </w:r>
            <w:r w:rsidRPr="00615C14">
              <w:rPr>
                <w:rFonts w:asciiTheme="minorEastAsia" w:hAnsiTheme="minorEastAsia" w:hint="eastAsia"/>
                <w:color w:val="FF0000"/>
                <w:szCs w:val="24"/>
              </w:rPr>
              <w:t>列印等新技術</w:t>
            </w:r>
            <w:r w:rsidR="00615C14">
              <w:rPr>
                <w:rFonts w:asciiTheme="minorEastAsia" w:hAnsiTheme="minorEastAsia" w:hint="eastAsia"/>
                <w:color w:val="FF0000"/>
                <w:szCs w:val="24"/>
              </w:rPr>
              <w:t>。</w:t>
            </w:r>
          </w:p>
        </w:tc>
        <w:tc>
          <w:tcPr>
            <w:tcW w:w="7756" w:type="dxa"/>
          </w:tcPr>
          <w:p w14:paraId="4D6E5011" w14:textId="77777777" w:rsidR="004323C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相片</w:t>
            </w:r>
          </w:p>
          <w:p w14:paraId="3A305612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1D6F40CC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5640F781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7BEA2607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360AD7D5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1A3E6D25" w14:textId="686F96C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187DDF24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6F4AFCAA" w14:textId="6C12479D" w:rsidR="007A26B9" w:rsidRPr="00323FBB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方法對文物保育的作用</w:t>
            </w:r>
          </w:p>
        </w:tc>
      </w:tr>
      <w:tr w:rsidR="004323C9" w14:paraId="52867EFE" w14:textId="77777777" w:rsidTr="007A26B9">
        <w:trPr>
          <w:trHeight w:val="5102"/>
        </w:trPr>
        <w:tc>
          <w:tcPr>
            <w:tcW w:w="1980" w:type="dxa"/>
          </w:tcPr>
          <w:p w14:paraId="6E94F0FA" w14:textId="665D120F" w:rsidR="004323C9" w:rsidRPr="00615C14" w:rsidRDefault="004323C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756" w:type="dxa"/>
          </w:tcPr>
          <w:p w14:paraId="08A69BF3" w14:textId="77777777" w:rsidR="004323C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相片</w:t>
            </w:r>
          </w:p>
          <w:p w14:paraId="26916C05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728081E8" w14:textId="523D243F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3FFE66C9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77E87F78" w14:textId="5E653623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6BDACADB" w14:textId="59D62E5C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08BD67A7" w14:textId="5A542D62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6A5E008F" w14:textId="77777777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</w:p>
          <w:p w14:paraId="62EDA958" w14:textId="40ED3850" w:rsidR="007A26B9" w:rsidRPr="00615C14" w:rsidRDefault="007A26B9" w:rsidP="004323C9">
            <w:pPr>
              <w:widowControl/>
              <w:rPr>
                <w:rFonts w:asciiTheme="minorEastAsia" w:hAnsiTheme="minorEastAsia"/>
                <w:szCs w:val="24"/>
              </w:rPr>
            </w:pPr>
            <w:r w:rsidRPr="00615C14">
              <w:rPr>
                <w:rFonts w:asciiTheme="minorEastAsia" w:hAnsiTheme="minorEastAsia" w:hint="eastAsia"/>
                <w:szCs w:val="24"/>
              </w:rPr>
              <w:t>方法對文物保育的作用</w:t>
            </w:r>
          </w:p>
        </w:tc>
      </w:tr>
    </w:tbl>
    <w:p w14:paraId="44F74722" w14:textId="7E1AF4BE" w:rsidR="004323C9" w:rsidRDefault="004323C9">
      <w:pPr>
        <w:widowControl/>
        <w:rPr>
          <w:rFonts w:asciiTheme="minorEastAsia" w:hAnsiTheme="minorEastAsia"/>
          <w:szCs w:val="24"/>
        </w:rPr>
      </w:pPr>
    </w:p>
    <w:p w14:paraId="5CB80969" w14:textId="2B445F5E" w:rsidR="006F7B66" w:rsidRPr="00F91718" w:rsidRDefault="004323C9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25362168" w14:textId="14F42D23" w:rsidR="0088098E" w:rsidRPr="00F91718" w:rsidRDefault="0088098E" w:rsidP="00954601">
      <w:pPr>
        <w:pStyle w:val="ListParagraph"/>
        <w:widowControl/>
        <w:numPr>
          <w:ilvl w:val="0"/>
          <w:numId w:val="4"/>
        </w:numPr>
        <w:ind w:leftChars="0"/>
        <w:rPr>
          <w:rFonts w:asciiTheme="minorEastAsia" w:hAnsiTheme="minorEastAsia" w:cs="Times New Roman"/>
          <w:b/>
          <w:spacing w:val="20"/>
          <w:kern w:val="0"/>
          <w:szCs w:val="24"/>
          <w:u w:val="thick"/>
          <w:shd w:val="clear" w:color="auto" w:fill="FFF2CC" w:themeFill="accent4" w:themeFillTint="33"/>
        </w:rPr>
      </w:pPr>
      <w:r w:rsidRPr="00F91718">
        <w:rPr>
          <w:rFonts w:asciiTheme="minorEastAsia" w:hAnsiTheme="minorEastAsia" w:cs="Times New Roman" w:hint="eastAsia"/>
          <w:b/>
          <w:spacing w:val="20"/>
          <w:kern w:val="0"/>
          <w:szCs w:val="24"/>
          <w:u w:val="thick"/>
          <w:shd w:val="clear" w:color="auto" w:fill="FFF2CC" w:themeFill="accent4" w:themeFillTint="33"/>
        </w:rPr>
        <w:lastRenderedPageBreak/>
        <w:t>考察後的反思</w:t>
      </w:r>
    </w:p>
    <w:p w14:paraId="73396FB3" w14:textId="78DE9982" w:rsidR="005D51AD" w:rsidRPr="00F91718" w:rsidRDefault="001F2276" w:rsidP="00364C27">
      <w:pPr>
        <w:widowControl/>
        <w:jc w:val="both"/>
        <w:rPr>
          <w:rFonts w:asciiTheme="minorEastAsia" w:hAnsiTheme="minorEastAsia"/>
          <w:szCs w:val="24"/>
        </w:rPr>
      </w:pPr>
      <w:r w:rsidRPr="00F91718">
        <w:rPr>
          <w:rFonts w:asciiTheme="minorEastAsia" w:hAnsiTheme="minorEastAsia" w:hint="eastAsia"/>
          <w:szCs w:val="24"/>
        </w:rPr>
        <w:t>綜合</w:t>
      </w:r>
      <w:r w:rsidRPr="00323FBB">
        <w:rPr>
          <w:rFonts w:asciiTheme="minorEastAsia" w:hAnsiTheme="minorEastAsia" w:hint="eastAsia"/>
          <w:szCs w:val="24"/>
        </w:rPr>
        <w:t>是次</w:t>
      </w:r>
      <w:r w:rsidRPr="00615C14">
        <w:rPr>
          <w:rFonts w:asciiTheme="minorEastAsia" w:hAnsiTheme="minorEastAsia" w:hint="eastAsia"/>
          <w:szCs w:val="24"/>
        </w:rPr>
        <w:t>實地考察</w:t>
      </w:r>
      <w:r w:rsidR="00681691" w:rsidRPr="00615C14">
        <w:rPr>
          <w:rFonts w:asciiTheme="minorEastAsia" w:hAnsiTheme="minorEastAsia" w:hint="eastAsia"/>
          <w:szCs w:val="24"/>
        </w:rPr>
        <w:t>、課堂所學</w:t>
      </w:r>
      <w:r w:rsidR="00EA6D10" w:rsidRPr="00F91718">
        <w:rPr>
          <w:rFonts w:asciiTheme="minorEastAsia" w:hAnsiTheme="minorEastAsia" w:hint="eastAsia"/>
          <w:szCs w:val="24"/>
        </w:rPr>
        <w:t>及自行搜集資料</w:t>
      </w:r>
      <w:r w:rsidRPr="00F91718">
        <w:rPr>
          <w:rFonts w:asciiTheme="minorEastAsia" w:hAnsiTheme="minorEastAsia" w:hint="eastAsia"/>
          <w:szCs w:val="24"/>
        </w:rPr>
        <w:t>，說明保育</w:t>
      </w:r>
      <w:r w:rsidR="00EA6D10" w:rsidRPr="00F91718">
        <w:rPr>
          <w:rFonts w:asciiTheme="minorEastAsia" w:hAnsiTheme="minorEastAsia" w:hint="eastAsia"/>
          <w:szCs w:val="24"/>
        </w:rPr>
        <w:t>文化遺產如何有助提升國家的綜合國力。</w:t>
      </w:r>
    </w:p>
    <w:p w14:paraId="2F8BC591" w14:textId="77777777" w:rsidR="00EA6D10" w:rsidRPr="00F91718" w:rsidRDefault="00EA6D10" w:rsidP="00615C14">
      <w:pPr>
        <w:widowControl/>
        <w:jc w:val="both"/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1718" w:rsidRPr="00F91718" w14:paraId="16DD2164" w14:textId="77777777" w:rsidTr="00954601">
        <w:trPr>
          <w:trHeight w:val="10293"/>
        </w:trPr>
        <w:tc>
          <w:tcPr>
            <w:tcW w:w="9736" w:type="dxa"/>
          </w:tcPr>
          <w:p w14:paraId="06AF6443" w14:textId="12EC12FD" w:rsidR="005D51AD" w:rsidRPr="008B7B37" w:rsidRDefault="00EA6D10" w:rsidP="00954601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提示：教師可引導</w:t>
            </w:r>
            <w:r w:rsidR="00507328" w:rsidRPr="008B7B37">
              <w:rPr>
                <w:rFonts w:asciiTheme="minorEastAsia" w:hAnsiTheme="minorEastAsia" w:hint="eastAsia"/>
                <w:color w:val="FF0000"/>
                <w:szCs w:val="24"/>
              </w:rPr>
              <w:t>學生運用</w:t>
            </w:r>
            <w:r w:rsidR="00ED4F34" w:rsidRPr="008B7B37">
              <w:rPr>
                <w:rFonts w:asciiTheme="minorEastAsia" w:hAnsiTheme="minorEastAsia" w:hint="eastAsia"/>
                <w:color w:val="FF0000"/>
                <w:szCs w:val="24"/>
              </w:rPr>
              <w:t>課</w:t>
            </w:r>
            <w:r w:rsidR="00507328" w:rsidRPr="008B7B37">
              <w:rPr>
                <w:rFonts w:asciiTheme="minorEastAsia" w:hAnsiTheme="minorEastAsia" w:hint="eastAsia"/>
                <w:color w:val="FF0000"/>
                <w:szCs w:val="24"/>
              </w:rPr>
              <w:t>堂所學</w:t>
            </w:r>
            <w:r w:rsidR="00ED4F34" w:rsidRPr="008B7B37">
              <w:rPr>
                <w:rFonts w:asciiTheme="minorEastAsia" w:hAnsiTheme="minorEastAsia" w:hint="eastAsia"/>
                <w:color w:val="FF0000"/>
                <w:szCs w:val="24"/>
              </w:rPr>
              <w:t>，並配合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是次</w:t>
            </w:r>
            <w:r w:rsidR="00ED4F34" w:rsidRPr="008B7B37">
              <w:rPr>
                <w:rFonts w:asciiTheme="minorEastAsia" w:hAnsiTheme="minorEastAsia" w:hint="eastAsia"/>
                <w:color w:val="FF0000"/>
                <w:szCs w:val="24"/>
              </w:rPr>
              <w:t>考察成果</w:t>
            </w:r>
            <w:r w:rsidR="00330881" w:rsidRPr="008B7B37">
              <w:rPr>
                <w:rFonts w:asciiTheme="minorEastAsia" w:hAnsiTheme="minorEastAsia" w:hint="eastAsia"/>
                <w:color w:val="FF0000"/>
                <w:szCs w:val="24"/>
              </w:rPr>
              <w:t>及自行搜集資料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（包括</w:t>
            </w:r>
            <w:r w:rsidR="00330881" w:rsidRPr="008B7B37">
              <w:rPr>
                <w:rFonts w:asciiTheme="minorEastAsia" w:hAnsiTheme="minorEastAsia" w:hint="eastAsia"/>
                <w:color w:val="FF0000"/>
                <w:szCs w:val="24"/>
              </w:rPr>
              <w:t>考察前閱讀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）</w:t>
            </w:r>
            <w:r w:rsidR="00330881" w:rsidRPr="008B7B37">
              <w:rPr>
                <w:rFonts w:asciiTheme="minorEastAsia" w:hAnsiTheme="minorEastAsia" w:hint="eastAsia"/>
                <w:color w:val="FF0000"/>
                <w:szCs w:val="24"/>
              </w:rPr>
              <w:t>等</w:t>
            </w:r>
            <w:r w:rsidR="00615C14" w:rsidRPr="008B7B37">
              <w:rPr>
                <w:rFonts w:asciiTheme="minorEastAsia" w:hAnsiTheme="minorEastAsia" w:hint="eastAsia"/>
                <w:color w:val="FF0000"/>
                <w:szCs w:val="24"/>
              </w:rPr>
              <w:t>思考</w:t>
            </w:r>
            <w:r w:rsidR="00330881" w:rsidRPr="008B7B37">
              <w:rPr>
                <w:rFonts w:asciiTheme="minorEastAsia" w:hAnsiTheme="minorEastAsia" w:hint="eastAsia"/>
                <w:color w:val="FF0000"/>
                <w:szCs w:val="24"/>
              </w:rPr>
              <w:t>問題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。除運用良渚遺址例子外，亦鼓勵</w:t>
            </w:r>
            <w:r w:rsidR="00D36750" w:rsidRPr="008B7B37">
              <w:rPr>
                <w:rFonts w:asciiTheme="minorEastAsia" w:hAnsiTheme="minorEastAsia" w:hint="eastAsia"/>
                <w:color w:val="FF0000"/>
                <w:szCs w:val="24"/>
              </w:rPr>
              <w:t>學生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運用國家</w:t>
            </w:r>
            <w:r w:rsidR="00D208A7" w:rsidRPr="008B7B37">
              <w:rPr>
                <w:rFonts w:asciiTheme="minorEastAsia" w:hAnsiTheme="minorEastAsia" w:hint="eastAsia"/>
                <w:color w:val="FF0000"/>
                <w:szCs w:val="24"/>
              </w:rPr>
              <w:t>其他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具代表性的文化遺產、文物古蹟</w:t>
            </w:r>
            <w:r w:rsidR="008B7B37">
              <w:rPr>
                <w:rFonts w:asciiTheme="minorEastAsia" w:hAnsiTheme="minorEastAsia" w:hint="eastAsia"/>
                <w:color w:val="FF0000"/>
                <w:szCs w:val="24"/>
              </w:rPr>
              <w:t>等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來拓展有關的討論。</w:t>
            </w:r>
          </w:p>
          <w:p w14:paraId="21E741F9" w14:textId="77777777" w:rsidR="005D51AD" w:rsidRPr="008B7B37" w:rsidRDefault="005D51AD" w:rsidP="00954601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18E281AA" w14:textId="303D4CB6" w:rsidR="004323C9" w:rsidRPr="008B7B37" w:rsidRDefault="005D51AD" w:rsidP="00954601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建議</w:t>
            </w:r>
            <w:r w:rsidR="00615C14" w:rsidRPr="008B7B37">
              <w:rPr>
                <w:rFonts w:asciiTheme="minorEastAsia" w:hAnsiTheme="minorEastAsia" w:hint="eastAsia"/>
                <w:color w:val="FF0000"/>
                <w:szCs w:val="24"/>
              </w:rPr>
              <w:t>反思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方向</w:t>
            </w:r>
            <w:r w:rsidRPr="008B7B37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82379ED" w14:textId="77777777" w:rsidR="004323C9" w:rsidRPr="008B7B37" w:rsidRDefault="004323C9" w:rsidP="00954601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</w:p>
          <w:p w14:paraId="66B094EA" w14:textId="6CADFC8B" w:rsidR="00330881" w:rsidRPr="008B7B37" w:rsidRDefault="00330881" w:rsidP="00615C14">
            <w:pPr>
              <w:pStyle w:val="ListParagraph"/>
              <w:widowControl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color w:val="FF0000"/>
                <w:szCs w:val="24"/>
              </w:rPr>
            </w:pP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培養</w:t>
            </w:r>
            <w:r w:rsidR="00EA6D10" w:rsidRPr="008B7B37">
              <w:rPr>
                <w:rFonts w:asciiTheme="minorEastAsia" w:hAnsiTheme="minorEastAsia" w:hint="eastAsia"/>
                <w:color w:val="FF0000"/>
                <w:szCs w:val="24"/>
              </w:rPr>
              <w:t>文化自信、</w:t>
            </w:r>
            <w:r w:rsidR="00954601" w:rsidRPr="008B7B37">
              <w:rPr>
                <w:rFonts w:asciiTheme="minorEastAsia" w:hAnsiTheme="minorEastAsia" w:hint="eastAsia"/>
                <w:color w:val="FF0000"/>
                <w:szCs w:val="24"/>
              </w:rPr>
              <w:t>人文</w:t>
            </w:r>
            <w:r w:rsidR="00364C27" w:rsidRPr="008B7B37">
              <w:rPr>
                <w:rFonts w:asciiTheme="minorEastAsia" w:hAnsiTheme="minorEastAsia" w:hint="eastAsia"/>
                <w:color w:val="FF0000"/>
                <w:szCs w:val="24"/>
              </w:rPr>
              <w:t>及</w:t>
            </w:r>
            <w:r w:rsidR="00954601" w:rsidRPr="008B7B37">
              <w:rPr>
                <w:rFonts w:asciiTheme="minorEastAsia" w:hAnsiTheme="minorEastAsia" w:hint="eastAsia"/>
                <w:color w:val="FF0000"/>
                <w:szCs w:val="24"/>
              </w:rPr>
              <w:t>文化素養</w:t>
            </w:r>
            <w:r w:rsidR="00EA6D10" w:rsidRPr="008B7B37">
              <w:rPr>
                <w:rFonts w:asciiTheme="minorEastAsia" w:hAnsiTheme="minorEastAsia" w:hint="eastAsia"/>
                <w:color w:val="FF0000"/>
                <w:szCs w:val="24"/>
              </w:rPr>
              <w:t>、民族凝聚力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，提升</w:t>
            </w:r>
            <w:r w:rsidR="004323C9" w:rsidRPr="008B7B37">
              <w:rPr>
                <w:rFonts w:asciiTheme="minorEastAsia" w:hAnsiTheme="minorEastAsia" w:hint="eastAsia"/>
                <w:color w:val="FF0000"/>
                <w:szCs w:val="24"/>
              </w:rPr>
              <w:t>國際形象</w:t>
            </w:r>
            <w:r w:rsidR="00EA6D10" w:rsidRPr="008B7B37">
              <w:rPr>
                <w:rFonts w:asciiTheme="minorEastAsia" w:hAnsiTheme="minorEastAsia" w:hint="eastAsia"/>
                <w:color w:val="FF0000"/>
                <w:szCs w:val="24"/>
              </w:rPr>
              <w:t>等</w:t>
            </w:r>
            <w:r w:rsidRPr="008B7B37">
              <w:rPr>
                <w:rFonts w:asciiTheme="minorEastAsia" w:hAnsiTheme="minorEastAsia"/>
                <w:color w:val="FF0000"/>
                <w:szCs w:val="24"/>
              </w:rPr>
              <w:t>;</w:t>
            </w:r>
          </w:p>
          <w:p w14:paraId="20271854" w14:textId="43CC99F0" w:rsidR="00EA6D10" w:rsidRPr="00615C14" w:rsidRDefault="00330881" w:rsidP="00615C14">
            <w:pPr>
              <w:pStyle w:val="ListParagraph"/>
              <w:widowControl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color w:val="FF0000"/>
                <w:szCs w:val="24"/>
              </w:rPr>
            </w:pP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文</w:t>
            </w:r>
            <w:r w:rsidR="005D51AD" w:rsidRPr="008B7B37">
              <w:rPr>
                <w:rFonts w:asciiTheme="minorEastAsia" w:hAnsiTheme="minorEastAsia" w:hint="eastAsia"/>
                <w:color w:val="FF0000"/>
                <w:szCs w:val="24"/>
              </w:rPr>
              <w:t>化</w:t>
            </w:r>
            <w:r w:rsidRPr="008B7B37">
              <w:rPr>
                <w:rFonts w:asciiTheme="minorEastAsia" w:hAnsiTheme="minorEastAsia" w:hint="eastAsia"/>
                <w:color w:val="FF0000"/>
                <w:szCs w:val="24"/>
              </w:rPr>
              <w:t>遺產可推動如旅遊、出版、電影等</w:t>
            </w:r>
            <w:r w:rsidR="00EA6D10" w:rsidRPr="008B7B37">
              <w:rPr>
                <w:rFonts w:asciiTheme="minorEastAsia" w:hAnsiTheme="minorEastAsia" w:hint="eastAsia"/>
                <w:color w:val="FF0000"/>
                <w:szCs w:val="24"/>
              </w:rPr>
              <w:t>文化產業的發展</w:t>
            </w:r>
            <w:r w:rsidR="00954601" w:rsidRPr="008B7B37">
              <w:rPr>
                <w:rFonts w:asciiTheme="minorEastAsia" w:hAnsiTheme="minorEastAsia" w:hint="eastAsia"/>
                <w:color w:val="FF0000"/>
                <w:szCs w:val="24"/>
              </w:rPr>
              <w:t>等。</w:t>
            </w:r>
          </w:p>
        </w:tc>
      </w:tr>
    </w:tbl>
    <w:p w14:paraId="3C56A8C2" w14:textId="77777777" w:rsidR="00CA6ECF" w:rsidRPr="00F91718" w:rsidRDefault="00FA27D0" w:rsidP="00CA6ECF">
      <w:pPr>
        <w:spacing w:line="500" w:lineRule="exact"/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F91718">
        <w:rPr>
          <w:rFonts w:asciiTheme="minorEastAsia" w:hAnsiTheme="minorEastAsia"/>
          <w:szCs w:val="24"/>
        </w:rPr>
        <w:br w:type="page"/>
      </w:r>
      <w:r w:rsidR="00CA6ECF" w:rsidRPr="00F91718">
        <w:rPr>
          <w:rFonts w:asciiTheme="minorEastAsia" w:hAnsiTheme="minorEastAsia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6394F37D" w14:textId="77777777" w:rsidR="00CA6ECF" w:rsidRPr="00F91718" w:rsidRDefault="00CA6ECF" w:rsidP="00CA6ECF">
      <w:pPr>
        <w:widowControl/>
        <w:spacing w:afterLines="50" w:after="180" w:line="500" w:lineRule="exact"/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F91718">
        <w:rPr>
          <w:rFonts w:asciiTheme="minorEastAsia" w:hAnsiTheme="minorEastAsia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644DFA85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內地考察工作紙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（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下稱工作紙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）以教師為對象，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旨在為教師提供規劃與安排內地考察學與教活動的參考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。</w:t>
      </w:r>
    </w:p>
    <w:p w14:paraId="1E90A0AD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  <w:lang w:eastAsia="zh-HK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 xml:space="preserve">工作紙包括四部分 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（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甲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：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考察主題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；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乙：考察前準備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；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丙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：考察期間的任務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；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丁：考察後的反思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）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以協助教師規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劃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考察前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、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考察期間與考察後的活動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讓學生有系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統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地認識所考察的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參訪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點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。</w:t>
      </w:r>
    </w:p>
    <w:p w14:paraId="2D70D6F4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工作紙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所提供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</w:rPr>
        <w:t>的資料、視頻、相片、圖片、思考問題與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回答提示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等可作多用途使用，如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考察前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教學材料、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考察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規劃和學與教的參考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或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學生課業等。</w:t>
      </w:r>
    </w:p>
    <w:p w14:paraId="5CF31AC4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就工作紙內容（包括所提供閱讀材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料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與答案提示等）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，教師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可以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提供適切的補充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與調節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但必須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按照《公民與社會發展科課程及評估指引》（中四至中六）（</w:t>
      </w:r>
      <w:r w:rsidRPr="00F91718">
        <w:rPr>
          <w:rFonts w:asciiTheme="minorEastAsia" w:hAnsiTheme="minorEastAsia" w:cs="Times New Roman"/>
          <w:kern w:val="0"/>
          <w:szCs w:val="24"/>
        </w:rPr>
        <w:t>2021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）（下稱《指引》）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的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7556C005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工作紙建議多元化的考察任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務，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包括觀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察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當地情況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、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拍攝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相片和短片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、索取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參訪場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館所提供的介紹單張等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。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教師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應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按實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際行程安排、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當地現況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，校本情況、學生學習多樣性、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能力與興趣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以及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教學等需要作出合適的調整。</w:t>
      </w:r>
    </w:p>
    <w:p w14:paraId="1C117276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工作紙因應個別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參訪點考察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重點而設計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教師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亦可按學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與教需要進一步綜合與拓展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開發以主題為本（例如文化保育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、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大灣區經濟發展等）的資源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。</w:t>
      </w:r>
    </w:p>
    <w:p w14:paraId="6460C90B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contextualSpacing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除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工作紙所提供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的資料、視頻、相片、圖片外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，教師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亦應積極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鼓勵學生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考察前後自行搜集及閱讀行程相關的資料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並提供適切的指導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協助學生作好考察準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備，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以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培養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學生的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自學能力和習慣。</w:t>
      </w:r>
    </w:p>
    <w:p w14:paraId="700DA354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教師規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劃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內地考察學習活動時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亦應透過瀏覽</w:t>
      </w:r>
      <w:proofErr w:type="gramStart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參訪點官方</w:t>
      </w:r>
      <w:proofErr w:type="gramEnd"/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網站等方法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掌握當地最新資訊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，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以設計合適的考察活動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。</w:t>
      </w:r>
    </w:p>
    <w:p w14:paraId="563FC2C7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工作紙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67203078" w14:textId="77777777" w:rsidR="00CA6ECF" w:rsidRPr="00F91718" w:rsidRDefault="00CA6ECF" w:rsidP="00CA6ECF">
      <w:pPr>
        <w:widowControl/>
        <w:numPr>
          <w:ilvl w:val="0"/>
          <w:numId w:val="10"/>
        </w:numPr>
        <w:spacing w:after="160" w:line="256" w:lineRule="auto"/>
        <w:jc w:val="both"/>
        <w:rPr>
          <w:rFonts w:asciiTheme="minorEastAsia" w:hAnsiTheme="minorEastAsia" w:cs="Times New Roman"/>
          <w:kern w:val="0"/>
          <w:szCs w:val="24"/>
        </w:rPr>
      </w:pPr>
      <w:r w:rsidRPr="00F91718">
        <w:rPr>
          <w:rFonts w:asciiTheme="minorEastAsia" w:hAnsiTheme="minorEastAsia" w:cs="Times New Roman" w:hint="eastAsia"/>
          <w:kern w:val="0"/>
          <w:szCs w:val="24"/>
        </w:rPr>
        <w:t>請同時參閱《指引》以了解</w:t>
      </w:r>
      <w:r w:rsidRPr="00F91718">
        <w:rPr>
          <w:rFonts w:asciiTheme="minorEastAsia" w:hAnsiTheme="minorEastAsia" w:cs="Times New Roman" w:hint="eastAsia"/>
          <w:kern w:val="0"/>
          <w:szCs w:val="24"/>
          <w:lang w:eastAsia="zh-HK"/>
        </w:rPr>
        <w:t>內地考察</w:t>
      </w:r>
      <w:r w:rsidRPr="00F91718">
        <w:rPr>
          <w:rFonts w:asciiTheme="minorEastAsia" w:hAnsiTheme="minorEastAsia" w:cs="Times New Roman" w:hint="eastAsia"/>
          <w:kern w:val="0"/>
          <w:szCs w:val="24"/>
        </w:rPr>
        <w:t>學與教的要求與安排。</w:t>
      </w:r>
    </w:p>
    <w:p w14:paraId="58F0662D" w14:textId="77777777" w:rsidR="00CA6ECF" w:rsidRPr="00F91718" w:rsidRDefault="00CA6ECF" w:rsidP="00CA6ECF">
      <w:pPr>
        <w:adjustRightInd w:val="0"/>
        <w:snapToGrid w:val="0"/>
        <w:jc w:val="center"/>
        <w:rPr>
          <w:rFonts w:asciiTheme="minorEastAsia" w:hAnsiTheme="minorEastAsia" w:cs="Times New Roman"/>
          <w:szCs w:val="24"/>
          <w:lang w:eastAsia="zh-HK"/>
        </w:rPr>
      </w:pPr>
    </w:p>
    <w:p w14:paraId="198CAC7C" w14:textId="77777777" w:rsidR="00CA6ECF" w:rsidRPr="00F91718" w:rsidRDefault="00CA6ECF" w:rsidP="00CA6ECF">
      <w:pPr>
        <w:adjustRightInd w:val="0"/>
        <w:snapToGrid w:val="0"/>
        <w:jc w:val="center"/>
        <w:rPr>
          <w:rFonts w:asciiTheme="minorEastAsia" w:hAnsiTheme="minorEastAsia" w:cs="Times New Roman"/>
          <w:szCs w:val="24"/>
          <w:lang w:eastAsia="zh-HK"/>
        </w:rPr>
      </w:pPr>
    </w:p>
    <w:p w14:paraId="44C1C63F" w14:textId="77777777" w:rsidR="00CA6ECF" w:rsidRPr="00F91718" w:rsidRDefault="00CA6ECF" w:rsidP="00CA6ECF">
      <w:pPr>
        <w:adjustRightInd w:val="0"/>
        <w:snapToGrid w:val="0"/>
        <w:jc w:val="center"/>
        <w:rPr>
          <w:rFonts w:asciiTheme="minorEastAsia" w:hAnsiTheme="minorEastAsia" w:cs="Times New Roman"/>
          <w:spacing w:val="20"/>
          <w:szCs w:val="24"/>
          <w:lang w:eastAsia="zh-HK"/>
        </w:rPr>
      </w:pPr>
    </w:p>
    <w:p w14:paraId="58DF3760" w14:textId="77777777" w:rsidR="00CA4179" w:rsidRPr="00F91718" w:rsidRDefault="00CA4179" w:rsidP="00CA6ECF">
      <w:pPr>
        <w:widowControl/>
        <w:rPr>
          <w:rFonts w:asciiTheme="minorEastAsia" w:hAnsiTheme="minorEastAsia"/>
          <w:szCs w:val="24"/>
        </w:rPr>
      </w:pPr>
    </w:p>
    <w:sectPr w:rsidR="00CA4179" w:rsidRPr="00F91718" w:rsidSect="00230DA8">
      <w:footerReference w:type="default" r:id="rId11"/>
      <w:pgSz w:w="11906" w:h="16838"/>
      <w:pgMar w:top="1440" w:right="1080" w:bottom="1440" w:left="108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C113" w14:textId="77777777" w:rsidR="006940BB" w:rsidRDefault="006940BB" w:rsidP="009A4275">
      <w:r>
        <w:separator/>
      </w:r>
    </w:p>
  </w:endnote>
  <w:endnote w:type="continuationSeparator" w:id="0">
    <w:p w14:paraId="124962CC" w14:textId="77777777" w:rsidR="006940BB" w:rsidRDefault="006940BB" w:rsidP="009A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3633"/>
      <w:docPartObj>
        <w:docPartGallery w:val="Page Numbers (Bottom of Page)"/>
        <w:docPartUnique/>
      </w:docPartObj>
    </w:sdtPr>
    <w:sdtEndPr/>
    <w:sdtContent>
      <w:p w14:paraId="7C03AEA5" w14:textId="10500AE3" w:rsidR="00CA6ECF" w:rsidRDefault="00CA6E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50" w:rsidRPr="00D36750">
          <w:rPr>
            <w:noProof/>
            <w:lang w:val="zh-TW"/>
          </w:rPr>
          <w:t>7</w:t>
        </w:r>
        <w:r>
          <w:fldChar w:fldCharType="end"/>
        </w:r>
      </w:p>
    </w:sdtContent>
  </w:sdt>
  <w:p w14:paraId="344FF384" w14:textId="77777777" w:rsidR="00CA6ECF" w:rsidRDefault="00CA6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DD99" w14:textId="77777777" w:rsidR="006940BB" w:rsidRDefault="006940BB" w:rsidP="009A4275">
      <w:r>
        <w:separator/>
      </w:r>
    </w:p>
  </w:footnote>
  <w:footnote w:type="continuationSeparator" w:id="0">
    <w:p w14:paraId="5DADB94C" w14:textId="77777777" w:rsidR="006940BB" w:rsidRDefault="006940BB" w:rsidP="009A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4069"/>
    <w:multiLevelType w:val="hybridMultilevel"/>
    <w:tmpl w:val="10DE8A5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924FED"/>
    <w:multiLevelType w:val="hybridMultilevel"/>
    <w:tmpl w:val="164CD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A7C411C"/>
    <w:multiLevelType w:val="hybridMultilevel"/>
    <w:tmpl w:val="2A6AA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641299"/>
    <w:multiLevelType w:val="hybridMultilevel"/>
    <w:tmpl w:val="6FB618F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4793899"/>
    <w:multiLevelType w:val="hybridMultilevel"/>
    <w:tmpl w:val="F8846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DA5690"/>
    <w:multiLevelType w:val="hybridMultilevel"/>
    <w:tmpl w:val="365CD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25F91"/>
    <w:multiLevelType w:val="hybridMultilevel"/>
    <w:tmpl w:val="536A9272"/>
    <w:lvl w:ilvl="0" w:tplc="8228BBC0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606A80"/>
    <w:multiLevelType w:val="hybridMultilevel"/>
    <w:tmpl w:val="0F78E50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A54306"/>
    <w:multiLevelType w:val="hybridMultilevel"/>
    <w:tmpl w:val="F496C8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4D0BED"/>
    <w:multiLevelType w:val="hybridMultilevel"/>
    <w:tmpl w:val="5DE6AF1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57996"/>
    <w:multiLevelType w:val="hybridMultilevel"/>
    <w:tmpl w:val="7A7E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F3"/>
    <w:rsid w:val="00006EB2"/>
    <w:rsid w:val="00014548"/>
    <w:rsid w:val="00015252"/>
    <w:rsid w:val="000320FD"/>
    <w:rsid w:val="00067502"/>
    <w:rsid w:val="00071851"/>
    <w:rsid w:val="00090E16"/>
    <w:rsid w:val="0009351A"/>
    <w:rsid w:val="000A6363"/>
    <w:rsid w:val="000E713D"/>
    <w:rsid w:val="000F1274"/>
    <w:rsid w:val="000F1331"/>
    <w:rsid w:val="00100802"/>
    <w:rsid w:val="001140B3"/>
    <w:rsid w:val="00115BDF"/>
    <w:rsid w:val="001562E1"/>
    <w:rsid w:val="00174DC0"/>
    <w:rsid w:val="001816E0"/>
    <w:rsid w:val="001B53E8"/>
    <w:rsid w:val="001E7073"/>
    <w:rsid w:val="001F2276"/>
    <w:rsid w:val="00201B2D"/>
    <w:rsid w:val="00205933"/>
    <w:rsid w:val="00210AA2"/>
    <w:rsid w:val="00230DA8"/>
    <w:rsid w:val="00252104"/>
    <w:rsid w:val="0025286E"/>
    <w:rsid w:val="00256972"/>
    <w:rsid w:val="00263FC4"/>
    <w:rsid w:val="00277297"/>
    <w:rsid w:val="00291F3B"/>
    <w:rsid w:val="002B6817"/>
    <w:rsid w:val="00323FBB"/>
    <w:rsid w:val="00330881"/>
    <w:rsid w:val="003437D7"/>
    <w:rsid w:val="00346033"/>
    <w:rsid w:val="00364C27"/>
    <w:rsid w:val="003B52B2"/>
    <w:rsid w:val="003B6CDD"/>
    <w:rsid w:val="003E5633"/>
    <w:rsid w:val="00412DD6"/>
    <w:rsid w:val="00424998"/>
    <w:rsid w:val="00427D0D"/>
    <w:rsid w:val="004323C9"/>
    <w:rsid w:val="004816C9"/>
    <w:rsid w:val="004919D9"/>
    <w:rsid w:val="004A00A7"/>
    <w:rsid w:val="004A3F23"/>
    <w:rsid w:val="004B2491"/>
    <w:rsid w:val="004C6A42"/>
    <w:rsid w:val="004D1B6F"/>
    <w:rsid w:val="004D23E0"/>
    <w:rsid w:val="004E78C0"/>
    <w:rsid w:val="004F0BAD"/>
    <w:rsid w:val="00507328"/>
    <w:rsid w:val="005463A0"/>
    <w:rsid w:val="00554E62"/>
    <w:rsid w:val="00560B89"/>
    <w:rsid w:val="00561CF5"/>
    <w:rsid w:val="00581B16"/>
    <w:rsid w:val="005C55E7"/>
    <w:rsid w:val="005D5059"/>
    <w:rsid w:val="005D51AD"/>
    <w:rsid w:val="005E6C7C"/>
    <w:rsid w:val="005F1147"/>
    <w:rsid w:val="006041CF"/>
    <w:rsid w:val="00615C14"/>
    <w:rsid w:val="00620C55"/>
    <w:rsid w:val="00645EF9"/>
    <w:rsid w:val="00656ED7"/>
    <w:rsid w:val="00681691"/>
    <w:rsid w:val="00686B45"/>
    <w:rsid w:val="00686E8B"/>
    <w:rsid w:val="006940BB"/>
    <w:rsid w:val="006B7E67"/>
    <w:rsid w:val="006C3A9E"/>
    <w:rsid w:val="006F1419"/>
    <w:rsid w:val="006F7B66"/>
    <w:rsid w:val="00704CCC"/>
    <w:rsid w:val="00721F69"/>
    <w:rsid w:val="00726F52"/>
    <w:rsid w:val="00744997"/>
    <w:rsid w:val="00753B1E"/>
    <w:rsid w:val="00760E2A"/>
    <w:rsid w:val="00773C46"/>
    <w:rsid w:val="007A26B9"/>
    <w:rsid w:val="007B1AC4"/>
    <w:rsid w:val="007B4AA3"/>
    <w:rsid w:val="007C72F5"/>
    <w:rsid w:val="007C7961"/>
    <w:rsid w:val="007E29BB"/>
    <w:rsid w:val="00801E0E"/>
    <w:rsid w:val="0081129B"/>
    <w:rsid w:val="00827223"/>
    <w:rsid w:val="0083247E"/>
    <w:rsid w:val="008433A9"/>
    <w:rsid w:val="008616AD"/>
    <w:rsid w:val="0088098E"/>
    <w:rsid w:val="008811B6"/>
    <w:rsid w:val="00894351"/>
    <w:rsid w:val="00897EAC"/>
    <w:rsid w:val="008A49E8"/>
    <w:rsid w:val="008B7B37"/>
    <w:rsid w:val="008D216E"/>
    <w:rsid w:val="008E720C"/>
    <w:rsid w:val="008F2B0C"/>
    <w:rsid w:val="00912B82"/>
    <w:rsid w:val="0091688A"/>
    <w:rsid w:val="009405A7"/>
    <w:rsid w:val="009423A5"/>
    <w:rsid w:val="00945004"/>
    <w:rsid w:val="00954601"/>
    <w:rsid w:val="0096320B"/>
    <w:rsid w:val="00965E1F"/>
    <w:rsid w:val="009705BB"/>
    <w:rsid w:val="00970FFB"/>
    <w:rsid w:val="009955BE"/>
    <w:rsid w:val="009A3F7C"/>
    <w:rsid w:val="009A4275"/>
    <w:rsid w:val="009A7EDC"/>
    <w:rsid w:val="009B21EC"/>
    <w:rsid w:val="009E650D"/>
    <w:rsid w:val="00A133BB"/>
    <w:rsid w:val="00A15648"/>
    <w:rsid w:val="00A21EAA"/>
    <w:rsid w:val="00A73DD7"/>
    <w:rsid w:val="00AC0877"/>
    <w:rsid w:val="00AC3563"/>
    <w:rsid w:val="00AE7CDE"/>
    <w:rsid w:val="00AF38E1"/>
    <w:rsid w:val="00B0544B"/>
    <w:rsid w:val="00B1132C"/>
    <w:rsid w:val="00B417EF"/>
    <w:rsid w:val="00B41A91"/>
    <w:rsid w:val="00B625EA"/>
    <w:rsid w:val="00BA2E69"/>
    <w:rsid w:val="00BF21B4"/>
    <w:rsid w:val="00BF6280"/>
    <w:rsid w:val="00C10A42"/>
    <w:rsid w:val="00C12EA6"/>
    <w:rsid w:val="00C35122"/>
    <w:rsid w:val="00C577F3"/>
    <w:rsid w:val="00C57B5F"/>
    <w:rsid w:val="00C72B56"/>
    <w:rsid w:val="00C87203"/>
    <w:rsid w:val="00CA4179"/>
    <w:rsid w:val="00CA48C9"/>
    <w:rsid w:val="00CA6ECF"/>
    <w:rsid w:val="00CB5062"/>
    <w:rsid w:val="00D208A7"/>
    <w:rsid w:val="00D25EA8"/>
    <w:rsid w:val="00D36750"/>
    <w:rsid w:val="00D77AD9"/>
    <w:rsid w:val="00DC709C"/>
    <w:rsid w:val="00DE6920"/>
    <w:rsid w:val="00DF357D"/>
    <w:rsid w:val="00E11A07"/>
    <w:rsid w:val="00E50608"/>
    <w:rsid w:val="00E7004B"/>
    <w:rsid w:val="00E715E6"/>
    <w:rsid w:val="00E93AE8"/>
    <w:rsid w:val="00EA6D10"/>
    <w:rsid w:val="00ED4F34"/>
    <w:rsid w:val="00F1039D"/>
    <w:rsid w:val="00F356EC"/>
    <w:rsid w:val="00F62093"/>
    <w:rsid w:val="00F8166D"/>
    <w:rsid w:val="00F82A6E"/>
    <w:rsid w:val="00F91718"/>
    <w:rsid w:val="00FA27D0"/>
    <w:rsid w:val="00FB181F"/>
    <w:rsid w:val="00FB35DE"/>
    <w:rsid w:val="00FB4664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6F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7B1AC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F3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9E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1140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2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3E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B1AC4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A4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A42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4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42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7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6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713D"/>
  </w:style>
  <w:style w:type="paragraph" w:styleId="BodyText">
    <w:name w:val="Body Text"/>
    <w:basedOn w:val="Normal"/>
    <w:link w:val="BodyTextChar"/>
    <w:uiPriority w:val="99"/>
    <w:unhideWhenUsed/>
    <w:rsid w:val="00F82A6E"/>
    <w:pPr>
      <w:spacing w:after="120" w:line="588" w:lineRule="exact"/>
      <w:jc w:val="both"/>
    </w:pPr>
    <w:rPr>
      <w:rFonts w:ascii="Times New Roman" w:eastAsia="方正仿宋_GBK" w:hAnsi="Times New Roman" w:cs="Times New Roman"/>
      <w:sz w:val="30"/>
      <w:szCs w:val="3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82A6E"/>
    <w:rPr>
      <w:rFonts w:ascii="Times New Roman" w:eastAsia="方正仿宋_GBK" w:hAnsi="Times New Roman" w:cs="Times New Roman"/>
      <w:sz w:val="30"/>
      <w:szCs w:val="3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F3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F5C8-6FEF-4FAD-8583-A1E445BE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2024-12-20T07:47:00Z</dcterms:created>
  <dcterms:modified xsi:type="dcterms:W3CDTF">2024-12-20T07:47:00Z</dcterms:modified>
</cp:coreProperties>
</file>