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4A32" w14:textId="77777777" w:rsidR="00ED77D8" w:rsidRPr="009E767A" w:rsidRDefault="00ED77D8" w:rsidP="00ED77D8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 w:rsidRPr="009E767A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14:paraId="23FF58CD" w14:textId="77777777" w:rsidR="00ED77D8" w:rsidRPr="009E767A" w:rsidRDefault="00ED77D8" w:rsidP="00ED77D8">
      <w:pPr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9E767A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</w:t>
      </w:r>
      <w:r w:rsidRPr="009E767A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：</w:t>
      </w:r>
      <w:proofErr w:type="gramStart"/>
      <w:r w:rsidR="00EB629B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港珠澳</w:t>
      </w:r>
      <w:proofErr w:type="gramEnd"/>
      <w:r w:rsidR="00EB629B"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大橋</w:t>
      </w:r>
      <w:proofErr w:type="gramStart"/>
      <w:r w:rsidR="00EB629B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及</w:t>
      </w:r>
      <w:r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橫琴發展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  <w:u w:val="thick"/>
        </w:rPr>
        <w:t>規劃</w:t>
      </w:r>
    </w:p>
    <w:p w14:paraId="15FE7509" w14:textId="77777777" w:rsidR="00ED77D8" w:rsidRPr="009E767A" w:rsidRDefault="00ED77D8" w:rsidP="00ED77D8"/>
    <w:p w14:paraId="5DDC9576" w14:textId="77777777" w:rsidR="00ED77D8" w:rsidRPr="009E767A" w:rsidRDefault="00ED77D8" w:rsidP="00ED77D8">
      <w:pPr>
        <w:rPr>
          <w:b/>
          <w:shd w:val="clear" w:color="auto" w:fill="FFF2CC" w:themeFill="accent4" w:themeFillTint="33"/>
        </w:rPr>
      </w:pPr>
      <w:r w:rsidRPr="009E767A">
        <w:rPr>
          <w:rFonts w:hint="eastAsia"/>
          <w:b/>
          <w:shd w:val="clear" w:color="auto" w:fill="FFF2CC" w:themeFill="accent4" w:themeFillTint="33"/>
        </w:rPr>
        <w:t>甲</w:t>
      </w:r>
      <w:r w:rsidRPr="009E767A">
        <w:rPr>
          <w:rFonts w:hint="eastAsia"/>
          <w:b/>
          <w:shd w:val="clear" w:color="auto" w:fill="FFF2CC" w:themeFill="accent4" w:themeFillTint="33"/>
        </w:rPr>
        <w:t xml:space="preserve">. </w:t>
      </w:r>
      <w:r w:rsidRPr="009E767A">
        <w:rPr>
          <w:rFonts w:hint="eastAsia"/>
          <w:b/>
          <w:u w:val="thick"/>
          <w:shd w:val="clear" w:color="auto" w:fill="FFF2CC" w:themeFill="accent4" w:themeFillTint="33"/>
        </w:rPr>
        <w:t>考察主題</w:t>
      </w:r>
    </w:p>
    <w:p w14:paraId="725EBCBC" w14:textId="77777777" w:rsidR="00ED77D8" w:rsidRPr="009E767A" w:rsidRDefault="00ED77D8" w:rsidP="00ED77D8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ED77D8" w:rsidRPr="009E767A" w14:paraId="288287A4" w14:textId="77777777" w:rsidTr="00256203">
        <w:tc>
          <w:tcPr>
            <w:tcW w:w="3964" w:type="dxa"/>
            <w:shd w:val="clear" w:color="auto" w:fill="FBE4D5" w:themeFill="accent2" w:themeFillTint="33"/>
          </w:tcPr>
          <w:p w14:paraId="377B7594" w14:textId="77777777" w:rsidR="00ED77D8" w:rsidRPr="009E767A" w:rsidRDefault="00ED77D8" w:rsidP="00256203">
            <w:pPr>
              <w:jc w:val="center"/>
              <w:rPr>
                <w:b/>
              </w:rPr>
            </w:pPr>
            <w:r w:rsidRPr="009E767A">
              <w:rPr>
                <w:b/>
              </w:rPr>
              <w:t>建議學習重點</w:t>
            </w:r>
          </w:p>
        </w:tc>
        <w:tc>
          <w:tcPr>
            <w:tcW w:w="4332" w:type="dxa"/>
            <w:shd w:val="clear" w:color="auto" w:fill="FBE4D5" w:themeFill="accent2" w:themeFillTint="33"/>
          </w:tcPr>
          <w:p w14:paraId="165A7D38" w14:textId="77777777" w:rsidR="00ED77D8" w:rsidRPr="009E767A" w:rsidRDefault="00ED77D8" w:rsidP="00256203">
            <w:pPr>
              <w:jc w:val="center"/>
              <w:rPr>
                <w:b/>
              </w:rPr>
            </w:pPr>
            <w:r w:rsidRPr="009E767A">
              <w:rPr>
                <w:b/>
              </w:rPr>
              <w:t>與公民科課程相關的部分</w:t>
            </w:r>
          </w:p>
        </w:tc>
      </w:tr>
      <w:tr w:rsidR="00ED77D8" w:rsidRPr="009E767A" w14:paraId="64621A87" w14:textId="77777777" w:rsidTr="00256203">
        <w:trPr>
          <w:trHeight w:val="4148"/>
        </w:trPr>
        <w:tc>
          <w:tcPr>
            <w:tcW w:w="3964" w:type="dxa"/>
          </w:tcPr>
          <w:p w14:paraId="329A5E32" w14:textId="77777777" w:rsidR="00ED77D8" w:rsidRPr="00C031A8" w:rsidRDefault="00ED77D8" w:rsidP="00256203">
            <w:pPr>
              <w:ind w:left="340"/>
              <w:jc w:val="both"/>
            </w:pPr>
          </w:p>
          <w:p w14:paraId="671C5FCE" w14:textId="77777777" w:rsidR="00ED77D8" w:rsidRPr="009E767A" w:rsidRDefault="00ED77D8" w:rsidP="00256203">
            <w:pPr>
              <w:numPr>
                <w:ilvl w:val="0"/>
                <w:numId w:val="3"/>
              </w:numPr>
              <w:jc w:val="both"/>
            </w:pPr>
            <w:r w:rsidRPr="003D7691">
              <w:rPr>
                <w:rFonts w:hint="eastAsia"/>
                <w:szCs w:val="24"/>
              </w:rPr>
              <w:t>認識</w:t>
            </w:r>
            <w:proofErr w:type="gramStart"/>
            <w:r w:rsidRPr="003D7691">
              <w:rPr>
                <w:rFonts w:hint="eastAsia"/>
                <w:szCs w:val="24"/>
              </w:rPr>
              <w:t>港珠澳</w:t>
            </w:r>
            <w:proofErr w:type="gramEnd"/>
            <w:r w:rsidRPr="003D7691">
              <w:rPr>
                <w:rFonts w:hint="eastAsia"/>
                <w:szCs w:val="24"/>
              </w:rPr>
              <w:t>大橋的特色，以及其發揮</w:t>
            </w:r>
            <w:proofErr w:type="gramStart"/>
            <w:r w:rsidRPr="003D7691">
              <w:rPr>
                <w:rFonts w:hint="eastAsia"/>
                <w:szCs w:val="24"/>
              </w:rPr>
              <w:t>港珠澳</w:t>
            </w:r>
            <w:proofErr w:type="gramEnd"/>
            <w:r w:rsidRPr="003D7691">
              <w:rPr>
                <w:rFonts w:hint="eastAsia"/>
                <w:szCs w:val="24"/>
              </w:rPr>
              <w:t>三地協同效應的作用，從而思考大灣區城</w:t>
            </w:r>
            <w:proofErr w:type="gramStart"/>
            <w:r w:rsidRPr="003D7691">
              <w:rPr>
                <w:rFonts w:hint="eastAsia"/>
                <w:szCs w:val="24"/>
              </w:rPr>
              <w:t>巿</w:t>
            </w:r>
            <w:proofErr w:type="gramEnd"/>
            <w:r w:rsidRPr="003D7691">
              <w:rPr>
                <w:rFonts w:hint="eastAsia"/>
                <w:szCs w:val="24"/>
              </w:rPr>
              <w:t>的長遠規劃發展</w:t>
            </w:r>
            <w:r w:rsidRPr="009E767A">
              <w:rPr>
                <w:rFonts w:hint="eastAsia"/>
              </w:rPr>
              <w:t>。</w:t>
            </w:r>
          </w:p>
          <w:p w14:paraId="46945227" w14:textId="77777777" w:rsidR="00ED77D8" w:rsidRDefault="00ED77D8" w:rsidP="00256203">
            <w:pPr>
              <w:jc w:val="both"/>
            </w:pPr>
          </w:p>
          <w:p w14:paraId="432086B9" w14:textId="77777777" w:rsidR="00ED77D8" w:rsidRPr="009E767A" w:rsidRDefault="00ED77D8" w:rsidP="00256203">
            <w:pPr>
              <w:numPr>
                <w:ilvl w:val="0"/>
                <w:numId w:val="3"/>
              </w:numPr>
              <w:jc w:val="both"/>
              <w:rPr>
                <w:szCs w:val="24"/>
              </w:rPr>
            </w:pPr>
            <w:proofErr w:type="gramStart"/>
            <w:r w:rsidRPr="006200A0">
              <w:rPr>
                <w:rFonts w:hint="eastAsia"/>
              </w:rPr>
              <w:t>認識橫琴的</w:t>
            </w:r>
            <w:proofErr w:type="gramEnd"/>
            <w:r w:rsidRPr="006200A0">
              <w:rPr>
                <w:rFonts w:hint="eastAsia"/>
              </w:rPr>
              <w:t>總體規劃和發</w:t>
            </w:r>
            <w:r>
              <w:rPr>
                <w:rFonts w:hint="eastAsia"/>
              </w:rPr>
              <w:t>展</w:t>
            </w:r>
            <w:r w:rsidRPr="003D7691">
              <w:rPr>
                <w:rFonts w:hint="eastAsia"/>
                <w:szCs w:val="24"/>
              </w:rPr>
              <w:t>。</w:t>
            </w:r>
          </w:p>
        </w:tc>
        <w:tc>
          <w:tcPr>
            <w:tcW w:w="4332" w:type="dxa"/>
          </w:tcPr>
          <w:p w14:paraId="51DD37E7" w14:textId="77777777" w:rsidR="00ED77D8" w:rsidRDefault="00ED77D8" w:rsidP="00256203">
            <w:pPr>
              <w:rPr>
                <w:rFonts w:ascii="Times New Roman" w:hAnsi="Times New Roman" w:cs="Times New Roman"/>
              </w:rPr>
            </w:pPr>
          </w:p>
          <w:p w14:paraId="2EB68ACF" w14:textId="77777777" w:rsidR="00ED77D8" w:rsidRPr="009E767A" w:rsidRDefault="00ED77D8" w:rsidP="00256203">
            <w:pPr>
              <w:rPr>
                <w:rFonts w:ascii="Times New Roman" w:hAnsi="Times New Roman" w:cs="Times New Roman"/>
              </w:rPr>
            </w:pPr>
            <w:r w:rsidRPr="009E767A">
              <w:rPr>
                <w:rFonts w:ascii="Times New Roman" w:hAnsi="Times New Roman" w:cs="Times New Roman"/>
              </w:rPr>
              <w:t>主題</w:t>
            </w:r>
            <w:r w:rsidRPr="009E767A">
              <w:rPr>
                <w:rFonts w:ascii="Times New Roman" w:hAnsi="Times New Roman" w:cs="Times New Roman"/>
              </w:rPr>
              <w:t xml:space="preserve"> 2</w:t>
            </w:r>
            <w:r w:rsidRPr="009E767A">
              <w:rPr>
                <w:rFonts w:ascii="Times New Roman" w:hAnsi="Times New Roman" w:cs="Times New Roman"/>
              </w:rPr>
              <w:t>：改革開放以來的國家</w:t>
            </w:r>
          </w:p>
          <w:p w14:paraId="2BF804A3" w14:textId="77777777" w:rsidR="00ED77D8" w:rsidRPr="009E767A" w:rsidRDefault="00ED77D8" w:rsidP="00EE4F0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E767A">
              <w:rPr>
                <w:rFonts w:ascii="Times New Roman" w:hAnsi="Times New Roman" w:cs="Times New Roman"/>
              </w:rPr>
              <w:t>課題：國家的發展與香港融入國家發展大局</w:t>
            </w:r>
          </w:p>
          <w:p w14:paraId="64D6A818" w14:textId="77777777" w:rsidR="00ED77D8" w:rsidRPr="009E767A" w:rsidRDefault="00ED77D8" w:rsidP="00ED77D8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</w:rPr>
            </w:pPr>
            <w:r w:rsidRPr="009E767A">
              <w:rPr>
                <w:rFonts w:ascii="Times New Roman" w:hAnsi="Times New Roman" w:cs="Times New Roman"/>
              </w:rPr>
              <w:t>近期的五年發展規劃的重點及相關政策，以及這些重點和政策與促進國家和香港發展的關係</w:t>
            </w:r>
          </w:p>
          <w:p w14:paraId="19FB9A7B" w14:textId="77777777" w:rsidR="00ED77D8" w:rsidRPr="009E767A" w:rsidRDefault="00ED77D8" w:rsidP="00ED77D8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Times New Roman" w:hAnsi="Times New Roman" w:cs="Times New Roman"/>
              </w:rPr>
            </w:pPr>
            <w:r w:rsidRPr="009E767A">
              <w:rPr>
                <w:rFonts w:ascii="Times New Roman" w:hAnsi="Times New Roman" w:cs="Times New Roman"/>
              </w:rPr>
              <w:t>涉及香港的發展規劃和政策（粵港澳大灣區建設、《內地與香港關於建立更緊密經貿關係的安排》）與促進香港發展的關係</w:t>
            </w:r>
          </w:p>
        </w:tc>
      </w:tr>
    </w:tbl>
    <w:p w14:paraId="04B0CEC7" w14:textId="77777777" w:rsidR="00ED77D8" w:rsidRPr="009E767A" w:rsidRDefault="00ED77D8" w:rsidP="00ED77D8"/>
    <w:p w14:paraId="0DF949A4" w14:textId="77777777" w:rsidR="00ED77D8" w:rsidRDefault="00ED77D8" w:rsidP="00ED77D8">
      <w:pPr>
        <w:jc w:val="both"/>
        <w:rPr>
          <w:rFonts w:ascii="Times New Roman" w:hAnsi="Times New Roman" w:cs="Times New Roman"/>
        </w:rPr>
      </w:pPr>
      <w:r w:rsidRPr="00EF0D24">
        <w:rPr>
          <w:rFonts w:asciiTheme="minorEastAsia" w:hAnsiTheme="minorEastAsia" w:hint="eastAsia"/>
          <w:b/>
          <w:shd w:val="clear" w:color="auto" w:fill="FFF2CC" w:themeFill="accent4" w:themeFillTint="33"/>
        </w:rPr>
        <w:t>乙</w:t>
      </w:r>
      <w:r w:rsidRPr="00EF0D24">
        <w:rPr>
          <w:rFonts w:asciiTheme="minorEastAsia" w:hAnsiTheme="minorEastAsia"/>
          <w:b/>
          <w:shd w:val="clear" w:color="auto" w:fill="FFF2CC" w:themeFill="accent4" w:themeFillTint="33"/>
        </w:rPr>
        <w:t xml:space="preserve">. </w:t>
      </w:r>
      <w:r w:rsidRPr="00EF0D24">
        <w:rPr>
          <w:rFonts w:asciiTheme="minorEastAsia" w:hAnsiTheme="minorEastAsia"/>
          <w:b/>
          <w:u w:val="thick"/>
          <w:shd w:val="clear" w:color="auto" w:fill="FFF2CC" w:themeFill="accent4" w:themeFillTint="33"/>
        </w:rPr>
        <w:t>考察前準備</w:t>
      </w:r>
    </w:p>
    <w:p w14:paraId="2F8AC589" w14:textId="77777777" w:rsidR="00ED77D8" w:rsidRDefault="00ED77D8" w:rsidP="00ED77D8">
      <w:pPr>
        <w:jc w:val="both"/>
        <w:rPr>
          <w:rFonts w:ascii="Times New Roman" w:hAnsi="Times New Roman" w:cs="Times New Roman"/>
        </w:rPr>
      </w:pPr>
    </w:p>
    <w:p w14:paraId="79C8F202" w14:textId="77777777" w:rsidR="00ED77D8" w:rsidRPr="009C1281" w:rsidRDefault="00ED77D8" w:rsidP="00ED77D8">
      <w:pPr>
        <w:jc w:val="both"/>
        <w:rPr>
          <w:rFonts w:ascii="Times New Roman" w:hAnsi="Times New Roman" w:cs="Times New Roman"/>
        </w:rPr>
      </w:pPr>
      <w:r w:rsidRPr="009C1281">
        <w:rPr>
          <w:rFonts w:ascii="Times New Roman" w:hAnsi="Times New Roman" w:cs="Times New Roman"/>
        </w:rPr>
        <w:t>資料</w:t>
      </w:r>
      <w:proofErr w:type="gramStart"/>
      <w:r>
        <w:rPr>
          <w:rFonts w:ascii="Times New Roman" w:hAnsi="Times New Roman" w:cs="Times New Roman"/>
        </w:rPr>
        <w:t>一</w:t>
      </w:r>
      <w:proofErr w:type="gramEnd"/>
      <w:r w:rsidRPr="009C1281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t>簡介</w:t>
      </w:r>
      <w:proofErr w:type="gramStart"/>
      <w:r w:rsidRPr="009C1281">
        <w:rPr>
          <w:rFonts w:ascii="Times New Roman" w:hAnsi="Times New Roman" w:cs="Times New Roman"/>
        </w:rPr>
        <w:t>港珠澳</w:t>
      </w:r>
      <w:proofErr w:type="gramEnd"/>
      <w:r w:rsidRPr="009C1281">
        <w:rPr>
          <w:rFonts w:ascii="Times New Roman" w:hAnsi="Times New Roman" w:cs="Times New Roman"/>
        </w:rPr>
        <w:t>大橋</w:t>
      </w:r>
      <w:r>
        <w:rPr>
          <w:rFonts w:ascii="Times New Roman" w:hAnsi="Times New Roman" w:cs="Times New Roman"/>
        </w:rPr>
        <w:t>及其促進</w:t>
      </w:r>
      <w:proofErr w:type="gramStart"/>
      <w:r>
        <w:rPr>
          <w:rFonts w:ascii="Times New Roman" w:hAnsi="Times New Roman" w:cs="Times New Roman"/>
        </w:rPr>
        <w:t>港珠澳</w:t>
      </w:r>
      <w:proofErr w:type="gramEnd"/>
      <w:r>
        <w:rPr>
          <w:rFonts w:ascii="Times New Roman" w:hAnsi="Times New Roman" w:cs="Times New Roman"/>
        </w:rPr>
        <w:t>三地聯繫的功能</w:t>
      </w:r>
      <w:r>
        <w:rPr>
          <w:rFonts w:ascii="Times New Roman" w:hAnsi="Times New Roman" w:cs="Times New Roman" w:hint="eastAsia"/>
        </w:rPr>
        <w:t>（包含文字及視頻資料）</w:t>
      </w:r>
    </w:p>
    <w:p w14:paraId="2CF91D61" w14:textId="77777777" w:rsidR="00ED77D8" w:rsidRPr="009C1281" w:rsidRDefault="00ED77D8" w:rsidP="00ED77D8">
      <w:pPr>
        <w:jc w:val="both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ED77D8" w:rsidRPr="009C1281" w14:paraId="60DB16C4" w14:textId="77777777" w:rsidTr="00256203">
        <w:trPr>
          <w:trHeight w:val="1622"/>
        </w:trPr>
        <w:tc>
          <w:tcPr>
            <w:tcW w:w="8296" w:type="dxa"/>
            <w:gridSpan w:val="2"/>
            <w:vAlign w:val="center"/>
          </w:tcPr>
          <w:p w14:paraId="6BE8E661" w14:textId="77777777" w:rsidR="00ED77D8" w:rsidRPr="009C1281" w:rsidRDefault="00ED77D8" w:rsidP="00256203">
            <w:pPr>
              <w:ind w:firstLineChars="200" w:firstLine="480"/>
              <w:jc w:val="both"/>
              <w:rPr>
                <w:rFonts w:ascii="Times New Roman" w:hAnsi="Times New Roman" w:cs="Times New Roman"/>
                <w:noProof/>
              </w:rPr>
            </w:pPr>
            <w:r w:rsidRPr="00B1334F">
              <w:rPr>
                <w:rFonts w:ascii="Times New Roman" w:hAnsi="Times New Roman" w:cs="Times New Roman" w:hint="eastAsia"/>
                <w:noProof/>
              </w:rPr>
              <w:t>港珠澳大橋由</w:t>
            </w:r>
            <w:r w:rsidRPr="00B1334F">
              <w:rPr>
                <w:rFonts w:ascii="Times New Roman" w:hAnsi="Times New Roman" w:cs="Times New Roman" w:hint="eastAsia"/>
                <w:noProof/>
              </w:rPr>
              <w:t>12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公里的香港連接路、</w:t>
            </w:r>
            <w:r w:rsidRPr="00B1334F">
              <w:rPr>
                <w:rFonts w:ascii="Times New Roman" w:hAnsi="Times New Roman" w:cs="Times New Roman" w:hint="eastAsia"/>
                <w:noProof/>
              </w:rPr>
              <w:t>29.6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公里的主橋和</w:t>
            </w:r>
            <w:r w:rsidRPr="00B1334F">
              <w:rPr>
                <w:rFonts w:ascii="Times New Roman" w:hAnsi="Times New Roman" w:cs="Times New Roman" w:hint="eastAsia"/>
                <w:noProof/>
              </w:rPr>
              <w:t>13.4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公里的珠海連接線組成，全長</w:t>
            </w:r>
            <w:r w:rsidRPr="00B1334F">
              <w:rPr>
                <w:rFonts w:ascii="Times New Roman" w:hAnsi="Times New Roman" w:cs="Times New Roman" w:hint="eastAsia"/>
                <w:noProof/>
              </w:rPr>
              <w:t>55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公里，是全球最長的橋隧組合跨海通道。大橋全日</w:t>
            </w:r>
            <w:r w:rsidRPr="00B1334F">
              <w:rPr>
                <w:rFonts w:ascii="Times New Roman" w:hAnsi="Times New Roman" w:cs="Times New Roman" w:hint="eastAsia"/>
                <w:noProof/>
              </w:rPr>
              <w:t>24</w:t>
            </w:r>
            <w:r w:rsidR="00EE4F0B">
              <w:rPr>
                <w:rFonts w:ascii="Times New Roman" w:hAnsi="Times New Roman" w:cs="Times New Roman" w:hint="eastAsia"/>
                <w:noProof/>
              </w:rPr>
              <w:t>小時通關，穿梭香港及珠三角主要城市之間只需三小時；</w:t>
            </w:r>
            <w:r w:rsidRPr="00B1334F">
              <w:rPr>
                <w:rFonts w:ascii="Times New Roman" w:hAnsi="Times New Roman" w:cs="Times New Roman" w:hint="eastAsia"/>
                <w:noProof/>
              </w:rPr>
              <w:t>香港口岸至珠海口岸及澳門口岸約</w:t>
            </w:r>
            <w:r w:rsidRPr="00B1334F">
              <w:rPr>
                <w:rFonts w:ascii="Times New Roman" w:hAnsi="Times New Roman" w:cs="Times New Roman" w:hint="eastAsia"/>
                <w:noProof/>
              </w:rPr>
              <w:t>42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公里的路程，行車時間更只需</w:t>
            </w:r>
            <w:r w:rsidRPr="00B1334F">
              <w:rPr>
                <w:rFonts w:ascii="Times New Roman" w:hAnsi="Times New Roman" w:cs="Times New Roman" w:hint="eastAsia"/>
                <w:noProof/>
              </w:rPr>
              <w:t>40</w:t>
            </w:r>
            <w:r w:rsidRPr="00B1334F">
              <w:rPr>
                <w:rFonts w:ascii="Times New Roman" w:hAnsi="Times New Roman" w:cs="Times New Roman" w:hint="eastAsia"/>
                <w:noProof/>
              </w:rPr>
              <w:t>分鐘。</w:t>
            </w:r>
          </w:p>
        </w:tc>
      </w:tr>
      <w:tr w:rsidR="00ED77D8" w:rsidRPr="009C1281" w14:paraId="0EE1D912" w14:textId="77777777" w:rsidTr="00256203">
        <w:trPr>
          <w:trHeight w:val="1685"/>
        </w:trPr>
        <w:tc>
          <w:tcPr>
            <w:tcW w:w="988" w:type="dxa"/>
            <w:vAlign w:val="center"/>
          </w:tcPr>
          <w:p w14:paraId="50053D09" w14:textId="77777777" w:rsidR="00ED77D8" w:rsidRPr="00B1334F" w:rsidRDefault="00ED77D8" w:rsidP="0025620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1334F">
              <w:rPr>
                <w:rFonts w:ascii="Times New Roman" w:hAnsi="Times New Roman" w:cs="Times New Roman"/>
                <w:noProof/>
              </w:rPr>
              <w:t>視</w:t>
            </w:r>
            <w:r>
              <w:rPr>
                <w:rFonts w:ascii="Times New Roman" w:hAnsi="Times New Roman" w:cs="Times New Roman"/>
                <w:noProof/>
              </w:rPr>
              <w:t>頻</w:t>
            </w:r>
            <w:r>
              <w:rPr>
                <w:rFonts w:ascii="Times New Roman" w:hAnsi="Times New Roman" w:cs="Times New Roman" w:hint="eastAsia"/>
                <w:noProof/>
              </w:rPr>
              <w:t>1</w:t>
            </w:r>
          </w:p>
        </w:tc>
        <w:tc>
          <w:tcPr>
            <w:tcW w:w="7308" w:type="dxa"/>
            <w:vAlign w:val="center"/>
          </w:tcPr>
          <w:p w14:paraId="74036852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9C128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149CE308" wp14:editId="61BE6B9E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189865</wp:posOffset>
                  </wp:positionV>
                  <wp:extent cx="717550" cy="717550"/>
                  <wp:effectExtent l="0" t="0" r="6350" b="6350"/>
                  <wp:wrapSquare wrapText="bothSides"/>
                  <wp:docPr id="1" name="圖片 1" descr="C:\Users\kcli\Desktop\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li\Desktop\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281">
              <w:rPr>
                <w:rFonts w:ascii="Times New Roman" w:hAnsi="Times New Roman" w:cs="Times New Roman" w:hint="eastAsia"/>
              </w:rPr>
              <w:t>「香港最強</w:t>
            </w:r>
            <w:r w:rsidRPr="009C1281">
              <w:rPr>
                <w:rFonts w:ascii="Times New Roman" w:hAnsi="Times New Roman" w:cs="Times New Roman" w:hint="eastAsia"/>
              </w:rPr>
              <w:t xml:space="preserve"> </w:t>
            </w:r>
            <w:r w:rsidRPr="009C1281">
              <w:rPr>
                <w:rFonts w:ascii="Times New Roman" w:hAnsi="Times New Roman" w:cs="Times New Roman" w:hint="eastAsia"/>
              </w:rPr>
              <w:t>哪條是世界最長橋</w:t>
            </w:r>
            <w:proofErr w:type="gramStart"/>
            <w:r w:rsidRPr="009C1281">
              <w:rPr>
                <w:rFonts w:ascii="Times New Roman" w:hAnsi="Times New Roman" w:cs="Times New Roman" w:hint="eastAsia"/>
              </w:rPr>
              <w:t>隧</w:t>
            </w:r>
            <w:proofErr w:type="gramEnd"/>
            <w:r w:rsidRPr="009C1281">
              <w:rPr>
                <w:rFonts w:ascii="Times New Roman" w:hAnsi="Times New Roman" w:cs="Times New Roman" w:hint="eastAsia"/>
              </w:rPr>
              <w:t>組合跨海通道？」</w:t>
            </w:r>
          </w:p>
          <w:p w14:paraId="41C5FAC4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9C1281">
              <w:rPr>
                <w:rFonts w:ascii="Times New Roman" w:hAnsi="Times New Roman" w:cs="Times New Roman"/>
              </w:rPr>
              <w:t>（片長</w:t>
            </w:r>
            <w:r w:rsidRPr="009C1281">
              <w:rPr>
                <w:rFonts w:ascii="Times New Roman" w:hAnsi="Times New Roman" w:cs="Times New Roman" w:hint="eastAsia"/>
              </w:rPr>
              <w:t>2</w:t>
            </w:r>
            <w:r w:rsidRPr="009C1281">
              <w:rPr>
                <w:rFonts w:ascii="Times New Roman" w:hAnsi="Times New Roman" w:cs="Times New Roman" w:hint="eastAsia"/>
              </w:rPr>
              <w:t>分</w:t>
            </w:r>
            <w:r w:rsidRPr="009C1281">
              <w:rPr>
                <w:rFonts w:ascii="Times New Roman" w:hAnsi="Times New Roman" w:cs="Times New Roman" w:hint="eastAsia"/>
              </w:rPr>
              <w:t>2</w:t>
            </w:r>
            <w:r w:rsidRPr="009C1281">
              <w:rPr>
                <w:rFonts w:ascii="Times New Roman" w:hAnsi="Times New Roman" w:cs="Times New Roman"/>
              </w:rPr>
              <w:t>0</w:t>
            </w:r>
            <w:r w:rsidRPr="009C1281">
              <w:rPr>
                <w:rFonts w:ascii="Times New Roman" w:hAnsi="Times New Roman" w:cs="Times New Roman"/>
              </w:rPr>
              <w:t>秒，粵語旁白</w:t>
            </w:r>
            <w:r>
              <w:rPr>
                <w:rFonts w:ascii="Times New Roman" w:hAnsi="Times New Roman" w:cs="Times New Roman"/>
              </w:rPr>
              <w:t>，中文字幕</w:t>
            </w:r>
            <w:r w:rsidRPr="009C1281">
              <w:rPr>
                <w:rFonts w:ascii="Times New Roman" w:hAnsi="Times New Roman" w:cs="Times New Roman" w:hint="eastAsia"/>
              </w:rPr>
              <w:t>）</w:t>
            </w:r>
          </w:p>
          <w:p w14:paraId="6331F71C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C1281">
              <w:rPr>
                <w:rFonts w:ascii="Times New Roman" w:hAnsi="Times New Roman" w:cs="Times New Roman"/>
              </w:rPr>
              <w:t>https://chinacurrent.com/hk/story/23600/twenty-fifth-anniversary-bridge</w:t>
            </w:r>
          </w:p>
        </w:tc>
      </w:tr>
      <w:tr w:rsidR="00ED77D8" w:rsidRPr="009C1281" w14:paraId="21D6633D" w14:textId="77777777" w:rsidTr="00256203">
        <w:trPr>
          <w:trHeight w:val="1567"/>
        </w:trPr>
        <w:tc>
          <w:tcPr>
            <w:tcW w:w="988" w:type="dxa"/>
            <w:vAlign w:val="center"/>
          </w:tcPr>
          <w:p w14:paraId="09515099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B1334F">
              <w:rPr>
                <w:rFonts w:ascii="Times New Roman" w:hAnsi="Times New Roman" w:cs="Times New Roman"/>
                <w:noProof/>
              </w:rPr>
              <w:t>視</w:t>
            </w:r>
            <w:r>
              <w:rPr>
                <w:rFonts w:ascii="Times New Roman" w:hAnsi="Times New Roman" w:cs="Times New Roman"/>
                <w:noProof/>
              </w:rPr>
              <w:t>頻</w:t>
            </w: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7308" w:type="dxa"/>
            <w:vAlign w:val="center"/>
          </w:tcPr>
          <w:p w14:paraId="0F8DB4E2" w14:textId="77777777" w:rsidR="00ED77D8" w:rsidRDefault="00ED77D8" w:rsidP="0025620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1334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613371B3" wp14:editId="0D9DD00C">
                  <wp:simplePos x="0" y="0"/>
                  <wp:positionH relativeFrom="column">
                    <wp:posOffset>3514090</wp:posOffset>
                  </wp:positionH>
                  <wp:positionV relativeFrom="paragraph">
                    <wp:posOffset>0</wp:posOffset>
                  </wp:positionV>
                  <wp:extent cx="755650" cy="755650"/>
                  <wp:effectExtent l="0" t="0" r="6350" b="6350"/>
                  <wp:wrapSquare wrapText="bothSides"/>
                  <wp:docPr id="4" name="圖片 4" descr="C:\Users\kcli\Desktop\下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cli\Desktop\下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t>「</w:t>
            </w:r>
            <w:r w:rsidRPr="00B1334F">
              <w:rPr>
                <w:rFonts w:ascii="Times New Roman" w:hAnsi="Times New Roman" w:cs="Times New Roman" w:hint="eastAsia"/>
                <w:noProof/>
              </w:rPr>
              <w:t>港珠澳大橋成就回顧與未來展望</w:t>
            </w:r>
            <w:r>
              <w:rPr>
                <w:rFonts w:ascii="Times New Roman" w:hAnsi="Times New Roman" w:cs="Times New Roman" w:hint="eastAsia"/>
                <w:noProof/>
              </w:rPr>
              <w:t>」</w:t>
            </w:r>
          </w:p>
          <w:p w14:paraId="4A60F786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 w:rsidR="0054177F" w:rsidRPr="0054177F">
              <w:rPr>
                <w:rFonts w:ascii="Times New Roman" w:hAnsi="Times New Roman" w:cs="Times New Roman" w:hint="eastAsia"/>
              </w:rPr>
              <w:t>片長</w:t>
            </w:r>
            <w:r w:rsidR="0054177F">
              <w:rPr>
                <w:rFonts w:ascii="Times New Roman" w:hAnsi="Times New Roman" w:cs="Times New Roman" w:hint="eastAsia"/>
              </w:rPr>
              <w:t>4</w:t>
            </w:r>
            <w:r w:rsidR="0054177F" w:rsidRPr="0054177F">
              <w:rPr>
                <w:rFonts w:ascii="Times New Roman" w:hAnsi="Times New Roman" w:cs="Times New Roman" w:hint="eastAsia"/>
              </w:rPr>
              <w:t>分</w:t>
            </w:r>
            <w:r w:rsidR="0054177F">
              <w:rPr>
                <w:rFonts w:ascii="Times New Roman" w:hAnsi="Times New Roman" w:cs="Times New Roman" w:hint="eastAsia"/>
              </w:rPr>
              <w:t>5</w:t>
            </w:r>
            <w:r w:rsidR="0054177F" w:rsidRPr="0054177F">
              <w:rPr>
                <w:rFonts w:ascii="Times New Roman" w:hAnsi="Times New Roman" w:cs="Times New Roman" w:hint="eastAsia"/>
              </w:rPr>
              <w:t>秒</w:t>
            </w:r>
            <w:r w:rsidR="0054177F">
              <w:rPr>
                <w:rFonts w:ascii="Times New Roman" w:hAnsi="Times New Roman" w:cs="Times New Roman" w:hint="eastAsia"/>
              </w:rPr>
              <w:t>，</w:t>
            </w:r>
            <w:r w:rsidR="0054177F">
              <w:rPr>
                <w:rFonts w:ascii="Times New Roman" w:hAnsi="Times New Roman" w:cs="Times New Roman" w:hint="eastAsia"/>
                <w:lang w:eastAsia="zh-HK"/>
              </w:rPr>
              <w:t>普通話</w:t>
            </w:r>
            <w:r w:rsidRPr="009C1281">
              <w:rPr>
                <w:rFonts w:ascii="Times New Roman" w:hAnsi="Times New Roman" w:cs="Times New Roman"/>
              </w:rPr>
              <w:t>旁白</w:t>
            </w:r>
            <w:r>
              <w:rPr>
                <w:rFonts w:ascii="Times New Roman" w:hAnsi="Times New Roman" w:cs="Times New Roman"/>
              </w:rPr>
              <w:t>，中文字幕</w:t>
            </w:r>
            <w:r w:rsidRPr="009C1281">
              <w:rPr>
                <w:rFonts w:ascii="Times New Roman" w:hAnsi="Times New Roman" w:cs="Times New Roman" w:hint="eastAsia"/>
              </w:rPr>
              <w:t>）</w:t>
            </w:r>
          </w:p>
          <w:p w14:paraId="0504BD14" w14:textId="77777777" w:rsidR="00ED77D8" w:rsidRPr="009C1281" w:rsidRDefault="00ED77D8" w:rsidP="0025620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B1334F">
              <w:rPr>
                <w:rFonts w:ascii="Times New Roman" w:hAnsi="Times New Roman" w:cs="Times New Roman"/>
                <w:noProof/>
              </w:rPr>
              <w:t>https://www.hzmb.gov.hk/video/14-sc.mp4</w:t>
            </w:r>
          </w:p>
        </w:tc>
      </w:tr>
    </w:tbl>
    <w:p w14:paraId="38A9CCC3" w14:textId="77777777" w:rsidR="00ED77D8" w:rsidRPr="003203F1" w:rsidRDefault="00EE4F0B" w:rsidP="00ED77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參考</w:t>
      </w:r>
      <w:r w:rsidR="00ED77D8" w:rsidRPr="003203F1">
        <w:rPr>
          <w:rFonts w:ascii="Times New Roman" w:hAnsi="Times New Roman" w:cs="Times New Roman"/>
          <w:sz w:val="20"/>
          <w:szCs w:val="20"/>
        </w:rPr>
        <w:t>資料：</w:t>
      </w:r>
      <w:proofErr w:type="gramStart"/>
      <w:r w:rsidR="00ED77D8" w:rsidRPr="003203F1">
        <w:rPr>
          <w:rFonts w:ascii="Times New Roman" w:hAnsi="Times New Roman" w:cs="Times New Roman"/>
          <w:sz w:val="20"/>
          <w:szCs w:val="20"/>
        </w:rPr>
        <w:t>港珠澳大橋</w:t>
      </w:r>
      <w:r w:rsidR="00ED77D8" w:rsidRPr="003203F1">
        <w:rPr>
          <w:rFonts w:ascii="Times New Roman" w:hAnsi="Times New Roman" w:cs="Times New Roman"/>
          <w:sz w:val="20"/>
          <w:szCs w:val="20"/>
        </w:rPr>
        <w:t>—</w:t>
      </w:r>
      <w:proofErr w:type="gramEnd"/>
      <w:r w:rsidR="00ED77D8" w:rsidRPr="003203F1">
        <w:rPr>
          <w:rFonts w:ascii="Times New Roman" w:hAnsi="Times New Roman" w:cs="Times New Roman"/>
          <w:sz w:val="20"/>
          <w:szCs w:val="20"/>
        </w:rPr>
        <w:t>香港段官方網頁</w:t>
      </w:r>
      <w:r w:rsidR="00ED77D8" w:rsidRPr="003203F1">
        <w:rPr>
          <w:rFonts w:ascii="Times New Roman" w:hAnsi="Times New Roman" w:cs="Times New Roman"/>
          <w:sz w:val="20"/>
          <w:szCs w:val="20"/>
        </w:rPr>
        <w:t>https://www.hzmb.gov.hk/tc/index.html</w:t>
      </w:r>
    </w:p>
    <w:p w14:paraId="42CA1200" w14:textId="77777777" w:rsidR="000528F6" w:rsidRDefault="000528F6" w:rsidP="00ED77D8"/>
    <w:p w14:paraId="6521381E" w14:textId="51D3BB6C" w:rsidR="00ED77D8" w:rsidRDefault="00ED77D8" w:rsidP="00ED77D8">
      <w:r>
        <w:lastRenderedPageBreak/>
        <w:t>資料二：簡介橫琴</w:t>
      </w:r>
    </w:p>
    <w:p w14:paraId="4672CA96" w14:textId="77777777" w:rsidR="00ED77D8" w:rsidRDefault="00ED77D8" w:rsidP="00ED77D8">
      <w:pPr>
        <w:adjustRightInd w:val="0"/>
        <w:snapToGri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D77D8" w14:paraId="7E9D6A91" w14:textId="77777777" w:rsidTr="005831F7">
        <w:trPr>
          <w:trHeight w:val="4578"/>
        </w:trPr>
        <w:tc>
          <w:tcPr>
            <w:tcW w:w="8296" w:type="dxa"/>
          </w:tcPr>
          <w:p w14:paraId="3CD2C7B7" w14:textId="77777777" w:rsidR="00ED77D8" w:rsidRDefault="00ED77D8" w:rsidP="00256203">
            <w:r w:rsidRPr="0057204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A432509" wp14:editId="7CF0D1D0">
                  <wp:simplePos x="0" y="0"/>
                  <wp:positionH relativeFrom="column">
                    <wp:posOffset>3520840</wp:posOffset>
                  </wp:positionH>
                  <wp:positionV relativeFrom="paragraph">
                    <wp:posOffset>210820</wp:posOffset>
                  </wp:positionV>
                  <wp:extent cx="1572260" cy="1638300"/>
                  <wp:effectExtent l="19050" t="19050" r="27940" b="19050"/>
                  <wp:wrapSquare wrapText="bothSides"/>
                  <wp:docPr id="2" name="圖片 2" descr="C:\Users\kcli\Desktop\前海及橫琴合作區最新方案重點及機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cli\Desktop\前海及橫琴合作區最新方案重點及機遇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2260" cy="16383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　　</w:t>
            </w:r>
          </w:p>
          <w:p w14:paraId="7D448E8B" w14:textId="77777777" w:rsidR="00ED77D8" w:rsidRPr="002B5DF9" w:rsidRDefault="00ED77D8" w:rsidP="00256203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B5DF9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毗鄰港</w:t>
            </w:r>
            <w:r w:rsidR="00DD0062">
              <w:rPr>
                <w:rFonts w:ascii="Times New Roman" w:hAnsi="Times New Roman" w:cs="Times New Roman" w:hint="eastAsia"/>
              </w:rPr>
              <w:t>澳，這</w:t>
            </w:r>
            <w:proofErr w:type="gramStart"/>
            <w:r w:rsidR="00DD0062">
              <w:rPr>
                <w:rFonts w:ascii="Times New Roman" w:hAnsi="Times New Roman" w:cs="Times New Roman" w:hint="eastAsia"/>
              </w:rPr>
              <w:t>裏</w:t>
            </w:r>
            <w:proofErr w:type="gramEnd"/>
            <w:r w:rsidR="00DD0062">
              <w:rPr>
                <w:rFonts w:ascii="Times New Roman" w:hAnsi="Times New Roman" w:cs="Times New Roman" w:hint="eastAsia"/>
              </w:rPr>
              <w:t>原本是兩個島：</w:t>
            </w:r>
            <w:proofErr w:type="gramStart"/>
            <w:r w:rsidR="00DD0062">
              <w:rPr>
                <w:rFonts w:ascii="Times New Roman" w:hAnsi="Times New Roman" w:cs="Times New Roman" w:hint="eastAsia"/>
              </w:rPr>
              <w:t>大橫琴島</w:t>
            </w:r>
            <w:proofErr w:type="gramEnd"/>
            <w:r w:rsidR="00DD0062">
              <w:rPr>
                <w:rFonts w:ascii="Times New Roman" w:hAnsi="Times New Roman" w:cs="Times New Roman" w:hint="eastAsia"/>
              </w:rPr>
              <w:t>與小</w:t>
            </w:r>
            <w:proofErr w:type="gramStart"/>
            <w:r w:rsidR="00DD0062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="00DD0062">
              <w:rPr>
                <w:rFonts w:ascii="Times New Roman" w:hAnsi="Times New Roman" w:cs="Times New Roman" w:hint="eastAsia"/>
              </w:rPr>
              <w:t>。因其地形與山勢，大小</w:t>
            </w:r>
            <w:proofErr w:type="gramStart"/>
            <w:r w:rsidR="00DD0062">
              <w:rPr>
                <w:rFonts w:ascii="Times New Roman" w:hAnsi="Times New Roman" w:cs="Times New Roman" w:hint="eastAsia"/>
                <w:lang w:eastAsia="zh-HK"/>
              </w:rPr>
              <w:t>橫琴</w:t>
            </w:r>
            <w:r w:rsidRPr="002B5DF9">
              <w:rPr>
                <w:rFonts w:ascii="Times New Roman" w:hAnsi="Times New Roman" w:cs="Times New Roman" w:hint="eastAsia"/>
              </w:rPr>
              <w:t>島像橫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在南海上的兩具古琴，距離香港</w:t>
            </w:r>
            <w:r w:rsidRPr="002B5DF9">
              <w:rPr>
                <w:rFonts w:ascii="Times New Roman" w:hAnsi="Times New Roman" w:cs="Times New Roman"/>
              </w:rPr>
              <w:t>34</w:t>
            </w:r>
            <w:r w:rsidRPr="002B5DF9">
              <w:rPr>
                <w:rFonts w:ascii="Times New Roman" w:hAnsi="Times New Roman" w:cs="Times New Roman" w:hint="eastAsia"/>
              </w:rPr>
              <w:t>海</w:t>
            </w:r>
            <w:r w:rsidR="00EE4F0B">
              <w:rPr>
                <w:rFonts w:ascii="Times New Roman" w:hAnsi="Times New Roman" w:cs="Times New Roman" w:hint="eastAsia"/>
                <w:lang w:eastAsia="zh-HK"/>
              </w:rPr>
              <w:t>里</w:t>
            </w:r>
            <w:r w:rsidRPr="002B5DF9">
              <w:rPr>
                <w:rFonts w:ascii="Times New Roman" w:hAnsi="Times New Roman" w:cs="Times New Roman" w:hint="eastAsia"/>
              </w:rPr>
              <w:t>，與澳門一河相望，最近處相距僅</w:t>
            </w:r>
            <w:r w:rsidRPr="002B5DF9">
              <w:rPr>
                <w:rFonts w:ascii="Times New Roman" w:hAnsi="Times New Roman" w:cs="Times New Roman"/>
              </w:rPr>
              <w:t>187</w:t>
            </w:r>
            <w:r w:rsidRPr="002B5DF9">
              <w:rPr>
                <w:rFonts w:ascii="Times New Roman" w:hAnsi="Times New Roman" w:cs="Times New Roman" w:hint="eastAsia"/>
              </w:rPr>
              <w:t>米。</w:t>
            </w:r>
            <w:proofErr w:type="gramStart"/>
            <w:r w:rsidRPr="002B5DF9">
              <w:rPr>
                <w:rFonts w:ascii="Times New Roman" w:hAnsi="Times New Roman" w:cs="Times New Roman" w:hint="eastAsia"/>
              </w:rPr>
              <w:t>大橫琴島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與小</w:t>
            </w:r>
            <w:proofErr w:type="gramStart"/>
            <w:r w:rsidRPr="002B5DF9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之間為十字門水域（即中心溝），</w:t>
            </w:r>
            <w:r w:rsidRPr="002B5DF9">
              <w:rPr>
                <w:rFonts w:ascii="Times New Roman" w:hAnsi="Times New Roman" w:cs="Times New Roman"/>
              </w:rPr>
              <w:t>20</w:t>
            </w:r>
            <w:r w:rsidRPr="002B5DF9">
              <w:rPr>
                <w:rFonts w:ascii="Times New Roman" w:hAnsi="Times New Roman" w:cs="Times New Roman" w:hint="eastAsia"/>
              </w:rPr>
              <w:t>世紀</w:t>
            </w:r>
            <w:r w:rsidRPr="002B5DF9">
              <w:rPr>
                <w:rFonts w:ascii="Times New Roman" w:hAnsi="Times New Roman" w:cs="Times New Roman"/>
              </w:rPr>
              <w:t>70</w:t>
            </w:r>
            <w:r w:rsidRPr="002B5DF9">
              <w:rPr>
                <w:rFonts w:ascii="Times New Roman" w:hAnsi="Times New Roman" w:cs="Times New Roman" w:hint="eastAsia"/>
              </w:rPr>
              <w:t>年代修築起東、西大堤，將大、小</w:t>
            </w:r>
            <w:proofErr w:type="gramStart"/>
            <w:r w:rsidRPr="002B5DF9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連成一體。全島面積</w:t>
            </w:r>
            <w:r w:rsidRPr="002B5DF9">
              <w:rPr>
                <w:rFonts w:ascii="Times New Roman" w:hAnsi="Times New Roman" w:cs="Times New Roman"/>
              </w:rPr>
              <w:t>106.46</w:t>
            </w:r>
            <w:r w:rsidRPr="002B5DF9">
              <w:rPr>
                <w:rFonts w:ascii="Times New Roman" w:hAnsi="Times New Roman" w:cs="Times New Roman" w:hint="eastAsia"/>
              </w:rPr>
              <w:t>平方公里，是澳門面積的</w:t>
            </w:r>
            <w:r w:rsidRPr="002B5DF9">
              <w:rPr>
                <w:rFonts w:ascii="Times New Roman" w:hAnsi="Times New Roman" w:cs="Times New Roman"/>
              </w:rPr>
              <w:t>3</w:t>
            </w:r>
            <w:r w:rsidRPr="002B5DF9">
              <w:rPr>
                <w:rFonts w:ascii="Times New Roman" w:hAnsi="Times New Roman" w:cs="Times New Roman" w:hint="eastAsia"/>
              </w:rPr>
              <w:t>倍多。</w:t>
            </w:r>
          </w:p>
          <w:p w14:paraId="4A1D6D3F" w14:textId="77777777" w:rsidR="00ED77D8" w:rsidRPr="002B5DF9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</w:p>
          <w:p w14:paraId="65F4E260" w14:textId="77777777" w:rsidR="00ED77D8" w:rsidRDefault="00ED77D8" w:rsidP="00256203">
            <w:pPr>
              <w:ind w:firstLineChars="200" w:firstLine="480"/>
              <w:jc w:val="both"/>
            </w:pPr>
            <w:r w:rsidRPr="002B5DF9">
              <w:rPr>
                <w:rFonts w:ascii="Times New Roman" w:hAnsi="Times New Roman" w:cs="Times New Roman"/>
              </w:rPr>
              <w:t>2009</w:t>
            </w:r>
            <w:r w:rsidRPr="002B5DF9">
              <w:rPr>
                <w:rFonts w:ascii="Times New Roman" w:hAnsi="Times New Roman" w:cs="Times New Roman" w:hint="eastAsia"/>
              </w:rPr>
              <w:t>年</w:t>
            </w:r>
            <w:r w:rsidRPr="002B5DF9">
              <w:rPr>
                <w:rFonts w:ascii="Times New Roman" w:hAnsi="Times New Roman" w:cs="Times New Roman"/>
              </w:rPr>
              <w:t>6</w:t>
            </w:r>
            <w:r w:rsidRPr="002B5DF9">
              <w:rPr>
                <w:rFonts w:ascii="Times New Roman" w:hAnsi="Times New Roman" w:cs="Times New Roman" w:hint="eastAsia"/>
              </w:rPr>
              <w:t>月</w:t>
            </w:r>
            <w:r w:rsidRPr="002B5DF9">
              <w:rPr>
                <w:rFonts w:ascii="Times New Roman" w:hAnsi="Times New Roman" w:cs="Times New Roman"/>
              </w:rPr>
              <w:t>27</w:t>
            </w:r>
            <w:r w:rsidRPr="002B5DF9">
              <w:rPr>
                <w:rFonts w:ascii="Times New Roman" w:hAnsi="Times New Roman" w:cs="Times New Roman" w:hint="eastAsia"/>
              </w:rPr>
              <w:t>日人大通過決定，授權澳門對設在</w:t>
            </w:r>
            <w:proofErr w:type="gramStart"/>
            <w:r w:rsidRPr="002B5DF9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的澳門大學新校區實施管轄。</w:t>
            </w:r>
            <w:r w:rsidRPr="002B5DF9">
              <w:rPr>
                <w:rFonts w:ascii="Times New Roman" w:hAnsi="Times New Roman" w:cs="Times New Roman"/>
              </w:rPr>
              <w:t>2021</w:t>
            </w:r>
            <w:r w:rsidRPr="002B5DF9">
              <w:rPr>
                <w:rFonts w:ascii="Times New Roman" w:hAnsi="Times New Roman" w:cs="Times New Roman" w:hint="eastAsia"/>
              </w:rPr>
              <w:t>年</w:t>
            </w:r>
            <w:r w:rsidRPr="002B5DF9">
              <w:rPr>
                <w:rFonts w:ascii="Times New Roman" w:hAnsi="Times New Roman" w:cs="Times New Roman"/>
              </w:rPr>
              <w:t>9</w:t>
            </w:r>
            <w:r w:rsidRPr="002B5DF9">
              <w:rPr>
                <w:rFonts w:ascii="Times New Roman" w:hAnsi="Times New Roman" w:cs="Times New Roman" w:hint="eastAsia"/>
              </w:rPr>
              <w:t>月</w:t>
            </w:r>
            <w:r w:rsidRPr="002B5DF9">
              <w:rPr>
                <w:rFonts w:ascii="Times New Roman" w:hAnsi="Times New Roman" w:cs="Times New Roman"/>
              </w:rPr>
              <w:t>5</w:t>
            </w:r>
            <w:r w:rsidRPr="002B5DF9">
              <w:rPr>
                <w:rFonts w:ascii="Times New Roman" w:hAnsi="Times New Roman" w:cs="Times New Roman" w:hint="eastAsia"/>
              </w:rPr>
              <w:t>日，中共中央國務院印發《橫琴粵澳深度合作區建設總體方案》，支持</w:t>
            </w:r>
            <w:proofErr w:type="gramStart"/>
            <w:r w:rsidRPr="002B5DF9">
              <w:rPr>
                <w:rFonts w:ascii="Times New Roman" w:hAnsi="Times New Roman" w:cs="Times New Roman" w:hint="eastAsia"/>
              </w:rPr>
              <w:t>橫琴粵澳</w:t>
            </w:r>
            <w:proofErr w:type="gramEnd"/>
            <w:r w:rsidRPr="002B5DF9">
              <w:rPr>
                <w:rFonts w:ascii="Times New Roman" w:hAnsi="Times New Roman" w:cs="Times New Roman" w:hint="eastAsia"/>
              </w:rPr>
              <w:t>深度合作區發展。</w:t>
            </w:r>
          </w:p>
        </w:tc>
      </w:tr>
    </w:tbl>
    <w:p w14:paraId="780E39E1" w14:textId="77777777" w:rsidR="00ED77D8" w:rsidRPr="008F107E" w:rsidRDefault="00EE4F0B" w:rsidP="00ED77D8">
      <w:pPr>
        <w:adjustRightInd w:val="0"/>
        <w:snapToGri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參考</w:t>
      </w:r>
      <w:r w:rsidR="00ED77D8" w:rsidRPr="008F107E">
        <w:rPr>
          <w:rFonts w:ascii="Times New Roman" w:hAnsi="Times New Roman" w:cs="Times New Roman" w:hint="eastAsia"/>
          <w:sz w:val="20"/>
          <w:szCs w:val="20"/>
        </w:rPr>
        <w:t>資料</w:t>
      </w:r>
      <w:r>
        <w:rPr>
          <w:rFonts w:ascii="Times New Roman" w:hAnsi="Times New Roman" w:cs="Times New Roman" w:hint="eastAsia"/>
          <w:sz w:val="20"/>
          <w:szCs w:val="20"/>
        </w:rPr>
        <w:t>：</w:t>
      </w:r>
    </w:p>
    <w:p w14:paraId="54CF5AA8" w14:textId="77777777" w:rsidR="00ED77D8" w:rsidRPr="008F107E" w:rsidRDefault="00ED77D8" w:rsidP="00ED77D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 w:rsidRPr="008F107E">
        <w:rPr>
          <w:rFonts w:ascii="Times New Roman" w:hAnsi="Times New Roman" w:cs="Times New Roman" w:hint="eastAsia"/>
          <w:sz w:val="20"/>
          <w:szCs w:val="20"/>
        </w:rPr>
        <w:t>〈珠海橫琴新區片區〉，</w:t>
      </w:r>
      <w:r w:rsidRPr="008F107E">
        <w:rPr>
          <w:rFonts w:ascii="Times New Roman" w:hAnsi="Times New Roman" w:cs="Times New Roman"/>
          <w:sz w:val="20"/>
          <w:szCs w:val="20"/>
        </w:rPr>
        <w:t xml:space="preserve"> </w:t>
      </w:r>
      <w:r w:rsidRPr="008F107E">
        <w:rPr>
          <w:rFonts w:ascii="Times New Roman" w:hAnsi="Times New Roman" w:cs="Times New Roman" w:hint="eastAsia"/>
          <w:sz w:val="20"/>
          <w:szCs w:val="20"/>
        </w:rPr>
        <w:t>中國（廣東）自由貿易試驗區</w:t>
      </w:r>
      <w:r w:rsidRPr="008F107E">
        <w:rPr>
          <w:rFonts w:ascii="Times New Roman" w:hAnsi="Times New Roman" w:cs="Times New Roman"/>
          <w:sz w:val="20"/>
          <w:szCs w:val="20"/>
        </w:rPr>
        <w:t>http://ftz.gd.gov.cn/qyjj/content/post_917246.html#zhuyao</w:t>
      </w:r>
    </w:p>
    <w:p w14:paraId="31D5CADB" w14:textId="77777777" w:rsidR="00ED77D8" w:rsidRPr="008F107E" w:rsidRDefault="00ED77D8" w:rsidP="00ED77D8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圖片取自〈</w:t>
      </w:r>
      <w:r w:rsidRPr="0003028E">
        <w:rPr>
          <w:rFonts w:ascii="Times New Roman" w:hAnsi="Times New Roman" w:cs="Times New Roman" w:hint="eastAsia"/>
          <w:sz w:val="20"/>
          <w:szCs w:val="20"/>
        </w:rPr>
        <w:t>前海及橫琴合作區最新方案重點及機遇</w:t>
      </w:r>
      <w:r>
        <w:rPr>
          <w:rFonts w:ascii="Times New Roman" w:hAnsi="Times New Roman" w:cs="Times New Roman" w:hint="eastAsia"/>
          <w:sz w:val="20"/>
          <w:szCs w:val="20"/>
        </w:rPr>
        <w:t>〉，香港貿易發展局經貿研究網頁</w:t>
      </w:r>
      <w:r w:rsidRPr="0003028E">
        <w:rPr>
          <w:rFonts w:ascii="Times New Roman" w:hAnsi="Times New Roman" w:cs="Times New Roman"/>
          <w:sz w:val="20"/>
          <w:szCs w:val="20"/>
        </w:rPr>
        <w:t>https://research.hktdc.com/tc/article/ODYxNDkwMzgy</w:t>
      </w:r>
    </w:p>
    <w:p w14:paraId="6B839CB8" w14:textId="77777777" w:rsidR="005831F7" w:rsidRDefault="005831F7" w:rsidP="00ED77D8">
      <w:pPr>
        <w:spacing w:line="300" w:lineRule="auto"/>
      </w:pPr>
    </w:p>
    <w:p w14:paraId="332040B2" w14:textId="77777777" w:rsidR="00ED77D8" w:rsidRDefault="00ED77D8" w:rsidP="00ED77D8">
      <w:r>
        <w:t>資料</w:t>
      </w:r>
      <w:proofErr w:type="gramStart"/>
      <w:r>
        <w:t>三</w:t>
      </w:r>
      <w:proofErr w:type="gramEnd"/>
      <w:r>
        <w:t>：</w:t>
      </w:r>
      <w:proofErr w:type="gramStart"/>
      <w:r>
        <w:rPr>
          <w:rFonts w:hint="eastAsia"/>
        </w:rPr>
        <w:t>橫琴</w:t>
      </w:r>
      <w:r w:rsidRPr="00C250AA">
        <w:rPr>
          <w:rFonts w:hint="eastAsia"/>
        </w:rPr>
        <w:t>發展</w:t>
      </w:r>
      <w:proofErr w:type="gramEnd"/>
      <w:r w:rsidRPr="00C250AA">
        <w:rPr>
          <w:rFonts w:hint="eastAsia"/>
        </w:rPr>
        <w:t>規劃歷程</w:t>
      </w:r>
    </w:p>
    <w:p w14:paraId="775EBE42" w14:textId="77777777" w:rsidR="00ED77D8" w:rsidRPr="003203F1" w:rsidRDefault="00ED77D8" w:rsidP="00ED77D8">
      <w:pPr>
        <w:adjustRightInd w:val="0"/>
        <w:snapToGrid w:val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ED77D8" w:rsidRPr="00C250AA" w14:paraId="73A46DD0" w14:textId="77777777" w:rsidTr="00256203">
        <w:trPr>
          <w:trHeight w:val="303"/>
        </w:trPr>
        <w:tc>
          <w:tcPr>
            <w:tcW w:w="1555" w:type="dxa"/>
            <w:shd w:val="clear" w:color="auto" w:fill="FBE4D5" w:themeFill="accent2" w:themeFillTint="33"/>
            <w:vAlign w:val="center"/>
          </w:tcPr>
          <w:p w14:paraId="08B5E2C4" w14:textId="77777777" w:rsidR="00ED77D8" w:rsidRPr="00C250AA" w:rsidRDefault="00ED77D8" w:rsidP="00256203">
            <w:pPr>
              <w:jc w:val="center"/>
              <w:rPr>
                <w:b/>
              </w:rPr>
            </w:pPr>
            <w:r w:rsidRPr="00C250AA">
              <w:rPr>
                <w:rFonts w:hint="eastAsia"/>
                <w:b/>
              </w:rPr>
              <w:t>日</w:t>
            </w:r>
            <w:r w:rsidRPr="00C250AA">
              <w:rPr>
                <w:rFonts w:hint="eastAsia"/>
                <w:b/>
              </w:rPr>
              <w:t xml:space="preserve"> </w:t>
            </w:r>
            <w:r w:rsidRPr="00C250AA">
              <w:rPr>
                <w:rFonts w:hint="eastAsia"/>
                <w:b/>
              </w:rPr>
              <w:t>期</w:t>
            </w:r>
          </w:p>
        </w:tc>
        <w:tc>
          <w:tcPr>
            <w:tcW w:w="6741" w:type="dxa"/>
            <w:shd w:val="clear" w:color="auto" w:fill="FBE4D5" w:themeFill="accent2" w:themeFillTint="33"/>
            <w:vAlign w:val="center"/>
          </w:tcPr>
          <w:p w14:paraId="44C92530" w14:textId="77777777" w:rsidR="00ED77D8" w:rsidRPr="00C250AA" w:rsidRDefault="00ED77D8" w:rsidP="00256203">
            <w:pPr>
              <w:jc w:val="center"/>
              <w:rPr>
                <w:b/>
              </w:rPr>
            </w:pPr>
            <w:r w:rsidRPr="00C250AA">
              <w:rPr>
                <w:rFonts w:hint="eastAsia"/>
                <w:b/>
              </w:rPr>
              <w:t>重</w:t>
            </w:r>
            <w:r>
              <w:rPr>
                <w:rFonts w:hint="eastAsia"/>
                <w:b/>
              </w:rPr>
              <w:t xml:space="preserve"> </w:t>
            </w:r>
            <w:r w:rsidRPr="00C250AA">
              <w:rPr>
                <w:rFonts w:hint="eastAsia"/>
                <w:b/>
              </w:rPr>
              <w:t>要</w:t>
            </w:r>
            <w:r>
              <w:rPr>
                <w:rFonts w:hint="eastAsia"/>
                <w:b/>
              </w:rPr>
              <w:t xml:space="preserve"> </w:t>
            </w:r>
            <w:r w:rsidRPr="00C250AA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 </w:t>
            </w:r>
            <w:r w:rsidRPr="00C250AA">
              <w:rPr>
                <w:rFonts w:hint="eastAsia"/>
                <w:b/>
              </w:rPr>
              <w:t>件</w:t>
            </w:r>
          </w:p>
        </w:tc>
      </w:tr>
      <w:tr w:rsidR="00ED77D8" w14:paraId="5F7A89B9" w14:textId="77777777" w:rsidTr="00256203">
        <w:trPr>
          <w:trHeight w:val="1216"/>
        </w:trPr>
        <w:tc>
          <w:tcPr>
            <w:tcW w:w="1555" w:type="dxa"/>
            <w:vAlign w:val="center"/>
          </w:tcPr>
          <w:p w14:paraId="0615BA6E" w14:textId="77777777" w:rsidR="00ED77D8" w:rsidRPr="00890FC4" w:rsidRDefault="00ED77D8" w:rsidP="00256203">
            <w:pPr>
              <w:jc w:val="center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/>
              </w:rPr>
              <w:t>2009</w:t>
            </w:r>
            <w:r w:rsidRPr="00890FC4">
              <w:rPr>
                <w:rFonts w:ascii="Times New Roman" w:hAnsi="Times New Roman" w:cs="Times New Roman" w:hint="eastAsia"/>
              </w:rPr>
              <w:t>年</w:t>
            </w:r>
            <w:r w:rsidRPr="00890FC4">
              <w:rPr>
                <w:rFonts w:ascii="Times New Roman" w:hAnsi="Times New Roman" w:cs="Times New Roman"/>
              </w:rPr>
              <w:t>8</w:t>
            </w:r>
            <w:r w:rsidRPr="00890FC4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6741" w:type="dxa"/>
            <w:vAlign w:val="center"/>
          </w:tcPr>
          <w:p w14:paraId="0A9DB6CD" w14:textId="77777777" w:rsidR="00ED77D8" w:rsidRPr="00890FC4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 w:hint="eastAsia"/>
              </w:rPr>
              <w:t>國務院批准實施《橫琴總體發展規劃》，將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橫琴島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納入珠海經濟特區範圍，明確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把橫琴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作為粵港澳緊密合作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的新載體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，由此拉開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了橫琴開發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建設的序幕。</w:t>
            </w:r>
          </w:p>
        </w:tc>
      </w:tr>
      <w:tr w:rsidR="00ED77D8" w14:paraId="7CBBD4E2" w14:textId="77777777" w:rsidTr="00256203">
        <w:trPr>
          <w:trHeight w:val="1261"/>
        </w:trPr>
        <w:tc>
          <w:tcPr>
            <w:tcW w:w="1555" w:type="dxa"/>
            <w:vAlign w:val="center"/>
          </w:tcPr>
          <w:p w14:paraId="7B026155" w14:textId="77777777" w:rsidR="00ED77D8" w:rsidRPr="00890FC4" w:rsidRDefault="00ED77D8" w:rsidP="00256203">
            <w:pPr>
              <w:jc w:val="center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/>
              </w:rPr>
              <w:t>2015</w:t>
            </w:r>
            <w:r w:rsidRPr="00890FC4">
              <w:rPr>
                <w:rFonts w:ascii="Times New Roman" w:hAnsi="Times New Roman" w:cs="Times New Roman" w:hint="eastAsia"/>
              </w:rPr>
              <w:t>年</w:t>
            </w:r>
            <w:r w:rsidRPr="00890FC4">
              <w:rPr>
                <w:rFonts w:ascii="Times New Roman" w:hAnsi="Times New Roman" w:cs="Times New Roman"/>
              </w:rPr>
              <w:t>4</w:t>
            </w:r>
            <w:r w:rsidRPr="00890FC4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6741" w:type="dxa"/>
            <w:vAlign w:val="center"/>
          </w:tcPr>
          <w:p w14:paraId="255D05FF" w14:textId="77777777" w:rsidR="00ED77D8" w:rsidRPr="00890FC4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國務院發布</w:t>
            </w:r>
            <w:r w:rsidRPr="00890FC4">
              <w:rPr>
                <w:rFonts w:ascii="Times New Roman" w:hAnsi="Times New Roman" w:cs="Times New Roman" w:hint="eastAsia"/>
              </w:rPr>
              <w:t>《中國（廣東）自由貿易試驗區總體方案》。其中涉及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橫琴片區</w:t>
            </w:r>
            <w:proofErr w:type="gramEnd"/>
            <w:r w:rsidRPr="00890FC4">
              <w:rPr>
                <w:rFonts w:ascii="Times New Roman" w:hAnsi="Times New Roman" w:cs="Times New Roman"/>
              </w:rPr>
              <w:t>28</w:t>
            </w:r>
            <w:r w:rsidRPr="00890FC4">
              <w:rPr>
                <w:rFonts w:ascii="Times New Roman" w:hAnsi="Times New Roman" w:cs="Times New Roman" w:hint="eastAsia"/>
              </w:rPr>
              <w:t>平方公里，將自由貿易試驗區政策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賦予橫琴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，深化推動其對澳經濟合作。</w:t>
            </w:r>
          </w:p>
        </w:tc>
      </w:tr>
      <w:tr w:rsidR="00ED77D8" w14:paraId="737F10A8" w14:textId="77777777" w:rsidTr="00256203">
        <w:trPr>
          <w:trHeight w:val="1265"/>
        </w:trPr>
        <w:tc>
          <w:tcPr>
            <w:tcW w:w="1555" w:type="dxa"/>
            <w:vAlign w:val="center"/>
          </w:tcPr>
          <w:p w14:paraId="4CE2ECB8" w14:textId="77777777" w:rsidR="00ED77D8" w:rsidRPr="00890FC4" w:rsidRDefault="00ED77D8" w:rsidP="00256203">
            <w:pPr>
              <w:jc w:val="center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/>
              </w:rPr>
              <w:t>2019</w:t>
            </w:r>
            <w:r w:rsidRPr="00890FC4">
              <w:rPr>
                <w:rFonts w:ascii="Times New Roman" w:hAnsi="Times New Roman" w:cs="Times New Roman" w:hint="eastAsia"/>
              </w:rPr>
              <w:t>年</w:t>
            </w:r>
            <w:r w:rsidRPr="00890FC4">
              <w:rPr>
                <w:rFonts w:ascii="Times New Roman" w:hAnsi="Times New Roman" w:cs="Times New Roman"/>
              </w:rPr>
              <w:t>4</w:t>
            </w:r>
            <w:r w:rsidRPr="00890FC4">
              <w:rPr>
                <w:rFonts w:ascii="Times New Roman" w:hAnsi="Times New Roman" w:cs="Times New Roman" w:hint="eastAsia"/>
              </w:rPr>
              <w:t>月</w:t>
            </w:r>
          </w:p>
        </w:tc>
        <w:tc>
          <w:tcPr>
            <w:tcW w:w="6741" w:type="dxa"/>
            <w:vAlign w:val="center"/>
          </w:tcPr>
          <w:p w14:paraId="38A02A2F" w14:textId="77777777" w:rsidR="00ED77D8" w:rsidRPr="00890FC4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 w:hint="eastAsia"/>
              </w:rPr>
              <w:t>國家發展改革委印發《橫琴國際休閒旅遊島建設方案》。該方案提出，要探索國際休閒旅遊島開發新模式，配合澳門建設好世界旅遊休閒中心。</w:t>
            </w:r>
          </w:p>
        </w:tc>
      </w:tr>
      <w:tr w:rsidR="00ED77D8" w14:paraId="13BAA6E9" w14:textId="77777777" w:rsidTr="00256203">
        <w:trPr>
          <w:trHeight w:val="1267"/>
        </w:trPr>
        <w:tc>
          <w:tcPr>
            <w:tcW w:w="1555" w:type="dxa"/>
            <w:vAlign w:val="center"/>
          </w:tcPr>
          <w:p w14:paraId="6CAEF716" w14:textId="77777777" w:rsidR="00ED77D8" w:rsidRPr="00890FC4" w:rsidRDefault="00ED77D8" w:rsidP="00256203">
            <w:pPr>
              <w:jc w:val="center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/>
              </w:rPr>
              <w:t>2021</w:t>
            </w:r>
            <w:r w:rsidRPr="00890FC4">
              <w:rPr>
                <w:rFonts w:ascii="Times New Roman" w:hAnsi="Times New Roman" w:cs="Times New Roman" w:hint="eastAsia"/>
              </w:rPr>
              <w:t>年</w:t>
            </w:r>
            <w:r w:rsidRPr="00890FC4">
              <w:rPr>
                <w:rFonts w:ascii="Times New Roman" w:hAnsi="Times New Roman" w:cs="Times New Roman"/>
              </w:rPr>
              <w:t>9</w:t>
            </w:r>
            <w:r w:rsidRPr="00890FC4">
              <w:rPr>
                <w:rFonts w:ascii="Times New Roman" w:hAnsi="Times New Roman" w:cs="Times New Roman" w:hint="eastAsia"/>
              </w:rPr>
              <w:t>月</w:t>
            </w:r>
          </w:p>
          <w:p w14:paraId="0F4A0327" w14:textId="77777777" w:rsidR="00ED77D8" w:rsidRPr="00890FC4" w:rsidRDefault="00ED77D8" w:rsidP="002562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1" w:type="dxa"/>
            <w:vAlign w:val="center"/>
          </w:tcPr>
          <w:p w14:paraId="2567A1E5" w14:textId="77777777" w:rsidR="00ED77D8" w:rsidRPr="00890FC4" w:rsidRDefault="00ED77D8" w:rsidP="00256203">
            <w:pPr>
              <w:jc w:val="both"/>
              <w:rPr>
                <w:rFonts w:ascii="Times New Roman" w:hAnsi="Times New Roman" w:cs="Times New Roman"/>
              </w:rPr>
            </w:pPr>
            <w:r w:rsidRPr="00890FC4">
              <w:rPr>
                <w:rFonts w:ascii="Times New Roman" w:hAnsi="Times New Roman" w:cs="Times New Roman" w:hint="eastAsia"/>
              </w:rPr>
              <w:t>《橫琴粵澳深度合作區建設總體方案</w:t>
            </w:r>
            <w:r>
              <w:rPr>
                <w:rFonts w:ascii="Times New Roman" w:hAnsi="Times New Roman" w:cs="Times New Roman" w:hint="eastAsia"/>
              </w:rPr>
              <w:t>》出台</w:t>
            </w:r>
            <w:r w:rsidRPr="00890FC4">
              <w:rPr>
                <w:rFonts w:ascii="Times New Roman" w:hAnsi="Times New Roman" w:cs="Times New Roman" w:hint="eastAsia"/>
              </w:rPr>
              <w:t>，明確了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橫琴對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澳合作深化改革和擴大對外開放的總體要求、重點任務和保障措施，以更大力度</w:t>
            </w:r>
            <w:proofErr w:type="gramStart"/>
            <w:r w:rsidRPr="00890FC4">
              <w:rPr>
                <w:rFonts w:ascii="Times New Roman" w:hAnsi="Times New Roman" w:cs="Times New Roman" w:hint="eastAsia"/>
              </w:rPr>
              <w:t>推動橫琴開發</w:t>
            </w:r>
            <w:proofErr w:type="gramEnd"/>
            <w:r w:rsidRPr="00890FC4">
              <w:rPr>
                <w:rFonts w:ascii="Times New Roman" w:hAnsi="Times New Roman" w:cs="Times New Roman" w:hint="eastAsia"/>
              </w:rPr>
              <w:t>建設進入新的時期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</w:tc>
      </w:tr>
    </w:tbl>
    <w:p w14:paraId="7AA1EE84" w14:textId="77777777" w:rsidR="00ED77D8" w:rsidRPr="003203F1" w:rsidRDefault="00EE4F0B" w:rsidP="00ED7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hint="eastAsia"/>
          <w:sz w:val="20"/>
          <w:szCs w:val="20"/>
          <w:lang w:eastAsia="zh-HK"/>
        </w:rPr>
        <w:t>參考</w:t>
      </w:r>
      <w:r w:rsidR="00ED77D8" w:rsidRPr="00423F87">
        <w:rPr>
          <w:rFonts w:hint="eastAsia"/>
          <w:sz w:val="20"/>
          <w:szCs w:val="20"/>
        </w:rPr>
        <w:t>資料：</w:t>
      </w:r>
      <w:r w:rsidR="00ED77D8" w:rsidRPr="00423F87">
        <w:rPr>
          <w:rFonts w:ascii="Times New Roman" w:hAnsi="Times New Roman" w:cs="Times New Roman" w:hint="eastAsia"/>
          <w:sz w:val="20"/>
          <w:szCs w:val="20"/>
        </w:rPr>
        <w:t>節錄自張燕</w:t>
      </w:r>
      <w:proofErr w:type="gramStart"/>
      <w:r w:rsidR="00ED77D8" w:rsidRPr="00423F87">
        <w:rPr>
          <w:rFonts w:ascii="Times New Roman" w:hAnsi="Times New Roman" w:cs="Times New Roman" w:hint="eastAsia"/>
          <w:sz w:val="20"/>
          <w:szCs w:val="20"/>
        </w:rPr>
        <w:t>〈</w:t>
      </w:r>
      <w:proofErr w:type="gramEnd"/>
      <w:r w:rsidR="00ED77D8" w:rsidRPr="00423F87">
        <w:rPr>
          <w:rFonts w:ascii="Times New Roman" w:hAnsi="Times New Roman" w:cs="Times New Roman" w:hint="eastAsia"/>
          <w:sz w:val="20"/>
          <w:szCs w:val="20"/>
        </w:rPr>
        <w:t>繼往開來：</w:t>
      </w:r>
      <w:proofErr w:type="gramStart"/>
      <w:r w:rsidR="00ED77D8" w:rsidRPr="00423F87">
        <w:rPr>
          <w:rFonts w:ascii="Times New Roman" w:hAnsi="Times New Roman" w:cs="Times New Roman" w:hint="eastAsia"/>
          <w:sz w:val="20"/>
          <w:szCs w:val="20"/>
        </w:rPr>
        <w:t>橫琴</w:t>
      </w:r>
      <w:proofErr w:type="gramEnd"/>
      <w:r w:rsidR="00ED77D8" w:rsidRPr="00423F87">
        <w:rPr>
          <w:rFonts w:ascii="Times New Roman" w:hAnsi="Times New Roman" w:cs="Times New Roman" w:hint="eastAsia"/>
          <w:sz w:val="20"/>
          <w:szCs w:val="20"/>
        </w:rPr>
        <w:t>、前海的開發開放歷程</w:t>
      </w:r>
      <w:proofErr w:type="gramStart"/>
      <w:r w:rsidR="00ED77D8" w:rsidRPr="00423F87">
        <w:rPr>
          <w:rFonts w:ascii="Times New Roman" w:hAnsi="Times New Roman" w:cs="Times New Roman" w:hint="eastAsia"/>
          <w:sz w:val="20"/>
          <w:szCs w:val="20"/>
        </w:rPr>
        <w:t>〉</w:t>
      </w:r>
      <w:proofErr w:type="gramEnd"/>
      <w:r w:rsidR="00ED77D8" w:rsidRPr="00423F87">
        <w:rPr>
          <w:rFonts w:ascii="Times New Roman" w:hAnsi="Times New Roman" w:cs="Times New Roman" w:hint="eastAsia"/>
          <w:sz w:val="20"/>
          <w:szCs w:val="20"/>
        </w:rPr>
        <w:t>，《中國外匯》，</w:t>
      </w:r>
      <w:r w:rsidR="00ED77D8" w:rsidRPr="00423F87">
        <w:rPr>
          <w:rFonts w:ascii="Times New Roman" w:hAnsi="Times New Roman" w:cs="Times New Roman"/>
          <w:sz w:val="20"/>
          <w:szCs w:val="20"/>
        </w:rPr>
        <w:t>2021</w:t>
      </w:r>
      <w:r w:rsidR="00ED77D8" w:rsidRPr="00423F87">
        <w:rPr>
          <w:rFonts w:ascii="Times New Roman" w:hAnsi="Times New Roman" w:cs="Times New Roman" w:hint="eastAsia"/>
          <w:sz w:val="20"/>
          <w:szCs w:val="20"/>
        </w:rPr>
        <w:t>年第</w:t>
      </w:r>
      <w:r w:rsidR="00ED77D8" w:rsidRPr="00423F87">
        <w:rPr>
          <w:rFonts w:ascii="Times New Roman" w:hAnsi="Times New Roman" w:cs="Times New Roman"/>
          <w:sz w:val="20"/>
          <w:szCs w:val="20"/>
        </w:rPr>
        <w:t>20</w:t>
      </w:r>
      <w:r w:rsidR="00ED77D8" w:rsidRPr="00423F87">
        <w:rPr>
          <w:rFonts w:ascii="Times New Roman" w:hAnsi="Times New Roman" w:cs="Times New Roman" w:hint="eastAsia"/>
          <w:sz w:val="20"/>
          <w:szCs w:val="20"/>
        </w:rPr>
        <w:t>期。</w:t>
      </w:r>
    </w:p>
    <w:p w14:paraId="13507FFD" w14:textId="77777777" w:rsidR="00C64E31" w:rsidRDefault="00C64E31" w:rsidP="00ED77D8">
      <w:pPr>
        <w:jc w:val="both"/>
        <w:rPr>
          <w:rFonts w:ascii="Times New Roman" w:hAnsi="Times New Roman" w:cs="Times New Roman"/>
        </w:rPr>
      </w:pPr>
    </w:p>
    <w:p w14:paraId="31482ECC" w14:textId="7906C214" w:rsidR="00C80E9B" w:rsidRDefault="00C80E9B" w:rsidP="00ED7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資料四：</w:t>
      </w:r>
      <w:r w:rsidR="00C9548B">
        <w:rPr>
          <w:rFonts w:ascii="Times New Roman" w:hAnsi="Times New Roman" w:cs="Times New Roman"/>
        </w:rPr>
        <w:t>節錄及整理</w:t>
      </w:r>
      <w:r w:rsidR="00C9548B" w:rsidRPr="00C9548B">
        <w:rPr>
          <w:rFonts w:ascii="Times New Roman" w:hAnsi="Times New Roman" w:cs="Times New Roman" w:hint="eastAsia"/>
        </w:rPr>
        <w:t>中共中央國務院頒布的</w:t>
      </w:r>
      <w:r>
        <w:rPr>
          <w:rFonts w:ascii="Times New Roman" w:hAnsi="Times New Roman" w:cs="Times New Roman"/>
        </w:rPr>
        <w:t>《</w:t>
      </w:r>
      <w:r w:rsidRPr="00C80E9B">
        <w:rPr>
          <w:rFonts w:ascii="Times New Roman" w:hAnsi="Times New Roman" w:cs="Times New Roman" w:hint="eastAsia"/>
        </w:rPr>
        <w:t>橫琴粵澳深度合作區建設總體方案》</w:t>
      </w:r>
      <w:r w:rsidR="00C9548B">
        <w:rPr>
          <w:rFonts w:ascii="Times New Roman" w:hAnsi="Times New Roman" w:cs="Times New Roman" w:hint="eastAsia"/>
        </w:rPr>
        <w:t>（</w:t>
      </w:r>
      <w:r w:rsidR="00C9548B">
        <w:rPr>
          <w:rFonts w:ascii="Times New Roman" w:hAnsi="Times New Roman" w:cs="Times New Roman" w:hint="eastAsia"/>
        </w:rPr>
        <w:t>2</w:t>
      </w:r>
      <w:r w:rsidR="00C9548B">
        <w:rPr>
          <w:rFonts w:ascii="Times New Roman" w:hAnsi="Times New Roman" w:cs="Times New Roman"/>
        </w:rPr>
        <w:t>021</w:t>
      </w:r>
      <w:r w:rsidR="00C9548B">
        <w:rPr>
          <w:rFonts w:ascii="Times New Roman" w:hAnsi="Times New Roman" w:cs="Times New Roman"/>
        </w:rPr>
        <w:t>年</w:t>
      </w:r>
      <w:r w:rsidR="00C9548B">
        <w:rPr>
          <w:rFonts w:ascii="Times New Roman" w:hAnsi="Times New Roman" w:cs="Times New Roman" w:hint="eastAsia"/>
        </w:rPr>
        <w:t>9</w:t>
      </w:r>
      <w:r w:rsidR="00C9548B">
        <w:rPr>
          <w:rFonts w:ascii="Times New Roman" w:hAnsi="Times New Roman" w:cs="Times New Roman" w:hint="eastAsia"/>
        </w:rPr>
        <w:t>月</w:t>
      </w:r>
      <w:r w:rsidR="00C9548B">
        <w:rPr>
          <w:rFonts w:ascii="Times New Roman" w:hAnsi="Times New Roman" w:cs="Times New Roman" w:hint="eastAsia"/>
        </w:rPr>
        <w:t>5</w:t>
      </w:r>
      <w:r w:rsidR="00C9548B">
        <w:rPr>
          <w:rFonts w:ascii="Times New Roman" w:hAnsi="Times New Roman" w:cs="Times New Roman" w:hint="eastAsia"/>
        </w:rPr>
        <w:t>日）</w:t>
      </w:r>
    </w:p>
    <w:p w14:paraId="393810DE" w14:textId="77777777" w:rsidR="00C80E9B" w:rsidRDefault="00C80E9B" w:rsidP="00E86443">
      <w:pPr>
        <w:adjustRightInd w:val="0"/>
        <w:snapToGrid w:val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7"/>
        <w:gridCol w:w="7839"/>
      </w:tblGrid>
      <w:tr w:rsidR="00C9548B" w14:paraId="06A7A5C3" w14:textId="77777777" w:rsidTr="00277270">
        <w:trPr>
          <w:trHeight w:val="1750"/>
        </w:trPr>
        <w:tc>
          <w:tcPr>
            <w:tcW w:w="456" w:type="dxa"/>
            <w:shd w:val="clear" w:color="auto" w:fill="FBE4D5" w:themeFill="accent2" w:themeFillTint="33"/>
            <w:vAlign w:val="center"/>
          </w:tcPr>
          <w:p w14:paraId="36EBD670" w14:textId="77777777" w:rsidR="00C9548B" w:rsidRPr="009D0A2E" w:rsidRDefault="00C9548B" w:rsidP="0027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2E">
              <w:rPr>
                <w:rFonts w:ascii="Times New Roman" w:hAnsi="Times New Roman" w:cs="Times New Roman"/>
                <w:b/>
              </w:rPr>
              <w:t>建</w:t>
            </w:r>
          </w:p>
          <w:p w14:paraId="108E4C99" w14:textId="77777777" w:rsidR="00C9548B" w:rsidRPr="009D0A2E" w:rsidRDefault="00C9548B" w:rsidP="0027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2E">
              <w:rPr>
                <w:rFonts w:ascii="Times New Roman" w:hAnsi="Times New Roman" w:cs="Times New Roman"/>
                <w:b/>
              </w:rPr>
              <w:t>設</w:t>
            </w:r>
          </w:p>
          <w:p w14:paraId="3E1D4F1E" w14:textId="77777777" w:rsidR="00C9548B" w:rsidRPr="009D0A2E" w:rsidRDefault="00C9548B" w:rsidP="0027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2E">
              <w:rPr>
                <w:rFonts w:ascii="Times New Roman" w:hAnsi="Times New Roman" w:cs="Times New Roman"/>
                <w:b/>
              </w:rPr>
              <w:t>初</w:t>
            </w:r>
          </w:p>
          <w:p w14:paraId="0570FAF5" w14:textId="77777777" w:rsidR="00C9548B" w:rsidRPr="00C9548B" w:rsidRDefault="00C9548B" w:rsidP="00277270">
            <w:pPr>
              <w:jc w:val="center"/>
              <w:rPr>
                <w:rFonts w:ascii="Times New Roman" w:hAnsi="Times New Roman" w:cs="Times New Roman"/>
              </w:rPr>
            </w:pPr>
            <w:r w:rsidRPr="009D0A2E">
              <w:rPr>
                <w:rFonts w:ascii="Times New Roman" w:hAnsi="Times New Roman" w:cs="Times New Roman"/>
                <w:b/>
              </w:rPr>
              <w:t>心</w:t>
            </w:r>
          </w:p>
        </w:tc>
        <w:tc>
          <w:tcPr>
            <w:tcW w:w="7840" w:type="dxa"/>
            <w:vAlign w:val="center"/>
          </w:tcPr>
          <w:p w14:paraId="5A58404D" w14:textId="77777777" w:rsidR="00C9548B" w:rsidRDefault="00C9548B" w:rsidP="009D0A2E">
            <w:pPr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建設</w:t>
            </w:r>
            <w:proofErr w:type="gramStart"/>
            <w:r w:rsidRPr="00C9548B">
              <w:rPr>
                <w:rFonts w:ascii="Times New Roman" w:hAnsi="Times New Roman" w:cs="Times New Roman" w:hint="eastAsia"/>
              </w:rPr>
              <w:t>橫琴新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區的初心就是為澳門產業多元發展創造條件。新形勢下做好</w:t>
            </w:r>
            <w:proofErr w:type="gramStart"/>
            <w:r w:rsidRPr="00C9548B">
              <w:rPr>
                <w:rFonts w:ascii="Times New Roman" w:hAnsi="Times New Roman" w:cs="Times New Roman" w:hint="eastAsia"/>
              </w:rPr>
              <w:t>橫琴粵澳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深度合作區開發開放，是深入實施《粵港澳大灣區發展規劃綱要》的重點舉措，是豐富「一國兩制」實踐的重大部署，是為澳門長遠發展注入的重要動力，有利於推動澳門長期繁榮穩定和融入國家發展大局。</w:t>
            </w:r>
          </w:p>
        </w:tc>
      </w:tr>
      <w:tr w:rsidR="00C9548B" w14:paraId="62768B92" w14:textId="77777777" w:rsidTr="00277270">
        <w:trPr>
          <w:trHeight w:val="1675"/>
        </w:trPr>
        <w:tc>
          <w:tcPr>
            <w:tcW w:w="456" w:type="dxa"/>
            <w:shd w:val="clear" w:color="auto" w:fill="FBE4D5" w:themeFill="accent2" w:themeFillTint="33"/>
            <w:vAlign w:val="center"/>
          </w:tcPr>
          <w:p w14:paraId="688EF0DF" w14:textId="77777777" w:rsidR="00C9548B" w:rsidRPr="00277270" w:rsidRDefault="00C9548B" w:rsidP="0027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270">
              <w:rPr>
                <w:rFonts w:ascii="Times New Roman" w:hAnsi="Times New Roman" w:cs="Times New Roman" w:hint="eastAsia"/>
                <w:b/>
              </w:rPr>
              <w:t>戰略定位</w:t>
            </w:r>
          </w:p>
        </w:tc>
        <w:tc>
          <w:tcPr>
            <w:tcW w:w="7840" w:type="dxa"/>
            <w:vAlign w:val="center"/>
          </w:tcPr>
          <w:p w14:paraId="4EBB7C58" w14:textId="77777777" w:rsidR="00C9548B" w:rsidRDefault="00C9548B" w:rsidP="009D0A2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促進澳門經濟適度多元發展的新平台</w:t>
            </w:r>
          </w:p>
          <w:p w14:paraId="099E13F0" w14:textId="77777777" w:rsidR="00C9548B" w:rsidRDefault="00C9548B" w:rsidP="009D0A2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便利澳門居民生活就業的新空間</w:t>
            </w:r>
          </w:p>
          <w:p w14:paraId="106F9B1C" w14:textId="77777777" w:rsidR="00C9548B" w:rsidRDefault="00C9548B" w:rsidP="009D0A2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豐富「一國兩制」實踐的新示範</w:t>
            </w:r>
          </w:p>
          <w:p w14:paraId="249E2823" w14:textId="77777777" w:rsidR="00C9548B" w:rsidRPr="00C9548B" w:rsidRDefault="00C9548B" w:rsidP="009D0A2E">
            <w:pPr>
              <w:pStyle w:val="a3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推動粵港澳大灣區建設的新高地</w:t>
            </w:r>
          </w:p>
        </w:tc>
      </w:tr>
      <w:tr w:rsidR="00C9548B" w14:paraId="1846793F" w14:textId="77777777" w:rsidTr="00277270">
        <w:trPr>
          <w:trHeight w:val="5526"/>
        </w:trPr>
        <w:tc>
          <w:tcPr>
            <w:tcW w:w="456" w:type="dxa"/>
            <w:shd w:val="clear" w:color="auto" w:fill="FBE4D5" w:themeFill="accent2" w:themeFillTint="33"/>
            <w:vAlign w:val="center"/>
          </w:tcPr>
          <w:p w14:paraId="78D55D77" w14:textId="77777777" w:rsidR="00C9548B" w:rsidRDefault="00C9548B" w:rsidP="00277270">
            <w:pPr>
              <w:jc w:val="center"/>
              <w:rPr>
                <w:rFonts w:ascii="Times New Roman" w:hAnsi="Times New Roman" w:cs="Times New Roman"/>
              </w:rPr>
            </w:pPr>
            <w:r w:rsidRPr="00277270">
              <w:rPr>
                <w:rFonts w:ascii="Times New Roman" w:hAnsi="Times New Roman" w:cs="Times New Roman"/>
                <w:b/>
              </w:rPr>
              <w:t>發展目標</w:t>
            </w:r>
          </w:p>
        </w:tc>
        <w:tc>
          <w:tcPr>
            <w:tcW w:w="7840" w:type="dxa"/>
            <w:vAlign w:val="center"/>
          </w:tcPr>
          <w:p w14:paraId="2C6FA0FB" w14:textId="77777777" w:rsidR="00C9548B" w:rsidRDefault="00C9548B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到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024</w:t>
            </w:r>
            <w:r>
              <w:rPr>
                <w:rFonts w:ascii="Times New Roman" w:hAnsi="Times New Roman" w:cs="Times New Roman"/>
              </w:rPr>
              <w:t>年</w:t>
            </w:r>
            <w:r w:rsidRPr="00C9548B">
              <w:rPr>
                <w:rFonts w:ascii="Times New Roman" w:hAnsi="Times New Roman" w:cs="Times New Roman" w:hint="eastAsia"/>
              </w:rPr>
              <w:t>澳門回歸祖國</w:t>
            </w:r>
            <w:r w:rsidRPr="00C9548B">
              <w:rPr>
                <w:rFonts w:ascii="Times New Roman" w:hAnsi="Times New Roman" w:cs="Times New Roman" w:hint="eastAsia"/>
              </w:rPr>
              <w:t>25</w:t>
            </w:r>
            <w:r w:rsidRPr="00C9548B">
              <w:rPr>
                <w:rFonts w:ascii="Times New Roman" w:hAnsi="Times New Roman" w:cs="Times New Roman" w:hint="eastAsia"/>
              </w:rPr>
              <w:t>周年</w:t>
            </w:r>
          </w:p>
          <w:p w14:paraId="517F95AC" w14:textId="77777777" w:rsidR="00C9548B" w:rsidRPr="00C9548B" w:rsidRDefault="00C9548B" w:rsidP="009D0A2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548B">
              <w:rPr>
                <w:rFonts w:ascii="Times New Roman" w:hAnsi="Times New Roman" w:cs="Times New Roman" w:hint="eastAsia"/>
              </w:rPr>
              <w:t>粵澳共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商共建共管共享體制機制運作順暢，創新要素明顯集聚，特色產業加快發展，公共服務和社會保障體系與澳門有序銜接，在合作區居住、就業的澳門居民大幅增加，</w:t>
            </w:r>
            <w:proofErr w:type="gramStart"/>
            <w:r w:rsidRPr="00C9548B">
              <w:rPr>
                <w:rFonts w:ascii="Times New Roman" w:hAnsi="Times New Roman" w:cs="Times New Roman" w:hint="eastAsia"/>
              </w:rPr>
              <w:t>琴澳一體化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發展格局初步建立，促進澳門經濟適度多元發展的支撐作用初步顯現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269DD52E" w14:textId="77777777" w:rsidR="00C9548B" w:rsidRDefault="00C9548B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到</w:t>
            </w:r>
            <w:r w:rsidRPr="00C9548B">
              <w:rPr>
                <w:rFonts w:ascii="Times New Roman" w:hAnsi="Times New Roman" w:cs="Times New Roman" w:hint="eastAsia"/>
              </w:rPr>
              <w:t>2029</w:t>
            </w:r>
            <w:r w:rsidRPr="00C9548B">
              <w:rPr>
                <w:rFonts w:ascii="Times New Roman" w:hAnsi="Times New Roman" w:cs="Times New Roman" w:hint="eastAsia"/>
              </w:rPr>
              <w:t>年澳門回歸祖國</w:t>
            </w:r>
            <w:r w:rsidRPr="00C9548B">
              <w:rPr>
                <w:rFonts w:ascii="Times New Roman" w:hAnsi="Times New Roman" w:cs="Times New Roman" w:hint="eastAsia"/>
              </w:rPr>
              <w:t>30</w:t>
            </w:r>
            <w:r>
              <w:rPr>
                <w:rFonts w:ascii="Times New Roman" w:hAnsi="Times New Roman" w:cs="Times New Roman" w:hint="eastAsia"/>
              </w:rPr>
              <w:t>周年時</w:t>
            </w:r>
          </w:p>
          <w:p w14:paraId="10081C8E" w14:textId="77777777" w:rsidR="00C9548B" w:rsidRDefault="00C9548B" w:rsidP="009D0A2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合作區與澳門經濟高度協同、規則深度銜接的制度體系全面確立，各類要素跨境流動高效便捷，特色產業發展形成規模，公共服務和社會保障體系更加完善，</w:t>
            </w:r>
            <w:proofErr w:type="gramStart"/>
            <w:r w:rsidRPr="00C9548B">
              <w:rPr>
                <w:rFonts w:ascii="Times New Roman" w:hAnsi="Times New Roman" w:cs="Times New Roman" w:hint="eastAsia"/>
              </w:rPr>
              <w:t>琴澳一體化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發展水平進一步提升，促進澳門經濟適度多元發展取得顯著成效</w:t>
            </w:r>
            <w:r>
              <w:rPr>
                <w:rFonts w:ascii="Times New Roman" w:hAnsi="Times New Roman" w:cs="Times New Roman" w:hint="eastAsia"/>
              </w:rPr>
              <w:t>。</w:t>
            </w:r>
          </w:p>
          <w:p w14:paraId="223C3B12" w14:textId="77777777" w:rsidR="00C9548B" w:rsidRDefault="00C9548B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到</w:t>
            </w:r>
            <w:r w:rsidRPr="00C9548B">
              <w:rPr>
                <w:rFonts w:ascii="Times New Roman" w:hAnsi="Times New Roman" w:cs="Times New Roman" w:hint="eastAsia"/>
              </w:rPr>
              <w:t>2035</w:t>
            </w:r>
            <w:r w:rsidRPr="00C9548B">
              <w:rPr>
                <w:rFonts w:ascii="Times New Roman" w:hAnsi="Times New Roman" w:cs="Times New Roman" w:hint="eastAsia"/>
              </w:rPr>
              <w:t>年</w:t>
            </w:r>
          </w:p>
          <w:p w14:paraId="7BB2DFF3" w14:textId="77777777" w:rsidR="00C9548B" w:rsidRPr="00C9548B" w:rsidRDefault="00C9548B" w:rsidP="009D0A2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C9548B">
              <w:rPr>
                <w:rFonts w:ascii="Times New Roman" w:hAnsi="Times New Roman" w:cs="Times New Roman" w:hint="eastAsia"/>
              </w:rPr>
              <w:t>「一國兩制」強大生命力和優越性全面彰顯，合作區經濟實力和科技競爭力大幅提升，公共服務和社會保障體系高效運轉，</w:t>
            </w:r>
            <w:proofErr w:type="gramStart"/>
            <w:r w:rsidRPr="00C9548B">
              <w:rPr>
                <w:rFonts w:ascii="Times New Roman" w:hAnsi="Times New Roman" w:cs="Times New Roman" w:hint="eastAsia"/>
              </w:rPr>
              <w:t>琴澳一體化</w:t>
            </w:r>
            <w:proofErr w:type="gramEnd"/>
            <w:r w:rsidRPr="00C9548B">
              <w:rPr>
                <w:rFonts w:ascii="Times New Roman" w:hAnsi="Times New Roman" w:cs="Times New Roman" w:hint="eastAsia"/>
              </w:rPr>
              <w:t>發展體制機制更加完善，促進澳門經濟適度多元發展的目標基本實現。</w:t>
            </w:r>
          </w:p>
        </w:tc>
      </w:tr>
      <w:tr w:rsidR="00C9548B" w14:paraId="0C9D2A6D" w14:textId="77777777" w:rsidTr="00277270">
        <w:trPr>
          <w:trHeight w:val="2118"/>
        </w:trPr>
        <w:tc>
          <w:tcPr>
            <w:tcW w:w="456" w:type="dxa"/>
            <w:shd w:val="clear" w:color="auto" w:fill="FBE4D5" w:themeFill="accent2" w:themeFillTint="33"/>
            <w:vAlign w:val="center"/>
          </w:tcPr>
          <w:p w14:paraId="62A6250D" w14:textId="77777777" w:rsidR="00C9548B" w:rsidRPr="00277270" w:rsidRDefault="00351CAB" w:rsidP="00277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270">
              <w:rPr>
                <w:rFonts w:ascii="Times New Roman" w:hAnsi="Times New Roman" w:cs="Times New Roman"/>
                <w:b/>
              </w:rPr>
              <w:t>新產業</w:t>
            </w:r>
            <w:proofErr w:type="gramStart"/>
            <w:r w:rsidRPr="00277270">
              <w:rPr>
                <w:rFonts w:ascii="Times New Roman" w:hAnsi="Times New Roman" w:cs="Times New Roman"/>
                <w:b/>
              </w:rPr>
              <w:t>版塊</w:t>
            </w:r>
            <w:proofErr w:type="gramEnd"/>
          </w:p>
        </w:tc>
        <w:tc>
          <w:tcPr>
            <w:tcW w:w="7840" w:type="dxa"/>
            <w:vAlign w:val="center"/>
          </w:tcPr>
          <w:p w14:paraId="1AE84249" w14:textId="77777777" w:rsidR="00C9548B" w:rsidRDefault="00D70CA8" w:rsidP="009D0A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透過</w:t>
            </w:r>
            <w:r w:rsidR="00351CAB" w:rsidRPr="00351CAB">
              <w:rPr>
                <w:rFonts w:ascii="Times New Roman" w:hAnsi="Times New Roman" w:cs="Times New Roman" w:hint="eastAsia"/>
              </w:rPr>
              <w:t>發展</w:t>
            </w:r>
            <w:r>
              <w:rPr>
                <w:rFonts w:ascii="Times New Roman" w:hAnsi="Times New Roman" w:cs="Times New Roman" w:hint="eastAsia"/>
              </w:rPr>
              <w:t>四大新產業</w:t>
            </w:r>
            <w:proofErr w:type="gramStart"/>
            <w:r>
              <w:rPr>
                <w:rFonts w:ascii="Times New Roman" w:hAnsi="Times New Roman" w:cs="Times New Roman" w:hint="eastAsia"/>
              </w:rPr>
              <w:t>版塊</w:t>
            </w:r>
            <w:proofErr w:type="gramEnd"/>
            <w:r>
              <w:rPr>
                <w:rFonts w:ascii="Times New Roman" w:hAnsi="Times New Roman" w:cs="Times New Roman" w:hint="eastAsia"/>
              </w:rPr>
              <w:t>，</w:t>
            </w:r>
            <w:r w:rsidR="00351CAB" w:rsidRPr="00351CAB">
              <w:rPr>
                <w:rFonts w:ascii="Times New Roman" w:hAnsi="Times New Roman" w:cs="Times New Roman" w:hint="eastAsia"/>
              </w:rPr>
              <w:t>促進澳門經濟適度多元的新產業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5B43A6D6" w14:textId="77777777" w:rsidR="00D70CA8" w:rsidRDefault="00406230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06230">
              <w:rPr>
                <w:rFonts w:ascii="Times New Roman" w:hAnsi="Times New Roman" w:cs="Times New Roman" w:hint="eastAsia"/>
              </w:rPr>
              <w:t>科技研發和高端製造產業</w:t>
            </w:r>
          </w:p>
          <w:p w14:paraId="4D64420C" w14:textId="77777777" w:rsidR="00406230" w:rsidRDefault="00406230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406230">
              <w:rPr>
                <w:rFonts w:ascii="Times New Roman" w:hAnsi="Times New Roman" w:cs="Times New Roman" w:hint="eastAsia"/>
              </w:rPr>
              <w:t>中醫藥等澳門品牌工業</w:t>
            </w:r>
          </w:p>
          <w:p w14:paraId="1A46AC31" w14:textId="77777777" w:rsidR="00406230" w:rsidRDefault="00406230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6230">
              <w:rPr>
                <w:rFonts w:ascii="Times New Roman" w:hAnsi="Times New Roman" w:cs="Times New Roman" w:hint="eastAsia"/>
              </w:rPr>
              <w:t>文旅會展商</w:t>
            </w:r>
            <w:proofErr w:type="gramEnd"/>
            <w:r w:rsidRPr="00406230">
              <w:rPr>
                <w:rFonts w:ascii="Times New Roman" w:hAnsi="Times New Roman" w:cs="Times New Roman" w:hint="eastAsia"/>
              </w:rPr>
              <w:t>貿產業</w:t>
            </w:r>
          </w:p>
          <w:p w14:paraId="24488182" w14:textId="77777777" w:rsidR="00FA545E" w:rsidRPr="00406230" w:rsidRDefault="00FA545E" w:rsidP="009D0A2E">
            <w:pPr>
              <w:pStyle w:val="a3"/>
              <w:numPr>
                <w:ilvl w:val="0"/>
                <w:numId w:val="5"/>
              </w:numPr>
              <w:ind w:leftChars="0"/>
              <w:jc w:val="both"/>
              <w:rPr>
                <w:rFonts w:ascii="Times New Roman" w:hAnsi="Times New Roman" w:cs="Times New Roman"/>
              </w:rPr>
            </w:pPr>
            <w:r w:rsidRPr="00FA545E">
              <w:rPr>
                <w:rFonts w:ascii="Times New Roman" w:hAnsi="Times New Roman" w:cs="Times New Roman" w:hint="eastAsia"/>
              </w:rPr>
              <w:t>現代金融產業</w:t>
            </w:r>
          </w:p>
        </w:tc>
      </w:tr>
    </w:tbl>
    <w:p w14:paraId="0471550B" w14:textId="77777777" w:rsidR="00F838DA" w:rsidRPr="00E86443" w:rsidRDefault="00CC3CBE" w:rsidP="00E86443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參考</w:t>
      </w:r>
      <w:r w:rsidR="00E86443" w:rsidRPr="00E86443">
        <w:rPr>
          <w:rFonts w:ascii="Times New Roman" w:hAnsi="Times New Roman" w:cs="Times New Roman"/>
          <w:sz w:val="20"/>
          <w:szCs w:val="20"/>
        </w:rPr>
        <w:t>資料：</w:t>
      </w:r>
    </w:p>
    <w:p w14:paraId="0AD83861" w14:textId="77777777" w:rsidR="00F838DA" w:rsidRPr="00E86443" w:rsidRDefault="00E86443" w:rsidP="00E86443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 w:rsidRPr="00E86443">
        <w:rPr>
          <w:rFonts w:ascii="Times New Roman" w:hAnsi="Times New Roman" w:cs="Times New Roman" w:hint="eastAsia"/>
          <w:sz w:val="20"/>
          <w:szCs w:val="20"/>
        </w:rPr>
        <w:t>中共中央國務院印發《橫琴粵澳深度合作區建設總體方案》（</w:t>
      </w:r>
      <w:r w:rsidRPr="00E86443">
        <w:rPr>
          <w:rFonts w:ascii="Times New Roman" w:hAnsi="Times New Roman" w:cs="Times New Roman" w:hint="eastAsia"/>
          <w:sz w:val="20"/>
          <w:szCs w:val="20"/>
        </w:rPr>
        <w:t>2021</w:t>
      </w:r>
      <w:r w:rsidRPr="00E86443">
        <w:rPr>
          <w:rFonts w:ascii="Times New Roman" w:hAnsi="Times New Roman" w:cs="Times New Roman" w:hint="eastAsia"/>
          <w:sz w:val="20"/>
          <w:szCs w:val="20"/>
        </w:rPr>
        <w:t>年</w:t>
      </w:r>
      <w:r w:rsidRPr="00E86443">
        <w:rPr>
          <w:rFonts w:ascii="Times New Roman" w:hAnsi="Times New Roman" w:cs="Times New Roman" w:hint="eastAsia"/>
          <w:sz w:val="20"/>
          <w:szCs w:val="20"/>
        </w:rPr>
        <w:t>9</w:t>
      </w:r>
      <w:r w:rsidRPr="00E86443">
        <w:rPr>
          <w:rFonts w:ascii="Times New Roman" w:hAnsi="Times New Roman" w:cs="Times New Roman" w:hint="eastAsia"/>
          <w:sz w:val="20"/>
          <w:szCs w:val="20"/>
        </w:rPr>
        <w:t>月</w:t>
      </w:r>
      <w:r w:rsidRPr="00E86443">
        <w:rPr>
          <w:rFonts w:ascii="Times New Roman" w:hAnsi="Times New Roman" w:cs="Times New Roman" w:hint="eastAsia"/>
          <w:sz w:val="20"/>
          <w:szCs w:val="20"/>
        </w:rPr>
        <w:t>5</w:t>
      </w:r>
      <w:r w:rsidRPr="00E86443">
        <w:rPr>
          <w:rFonts w:ascii="Times New Roman" w:hAnsi="Times New Roman" w:cs="Times New Roman" w:hint="eastAsia"/>
          <w:sz w:val="20"/>
          <w:szCs w:val="20"/>
        </w:rPr>
        <w:t>日）</w:t>
      </w:r>
      <w:r w:rsidR="00CC3CBE">
        <w:rPr>
          <w:rFonts w:ascii="Times New Roman" w:hAnsi="Times New Roman" w:cs="Times New Roman" w:hint="eastAsia"/>
          <w:sz w:val="20"/>
          <w:szCs w:val="20"/>
        </w:rPr>
        <w:t>，</w:t>
      </w:r>
      <w:r w:rsidRPr="00E86443">
        <w:rPr>
          <w:rFonts w:ascii="Times New Roman" w:hAnsi="Times New Roman" w:cs="Times New Roman" w:hint="eastAsia"/>
          <w:sz w:val="20"/>
          <w:szCs w:val="20"/>
        </w:rPr>
        <w:t>中華人民共和國中央人民政府網頁</w:t>
      </w:r>
      <w:r w:rsidRPr="00E86443">
        <w:rPr>
          <w:rFonts w:ascii="Times New Roman" w:hAnsi="Times New Roman" w:cs="Times New Roman"/>
          <w:sz w:val="20"/>
          <w:szCs w:val="20"/>
        </w:rPr>
        <w:t>http://www.gov.cn/gongbao/content/2021/content_5637943.htm</w:t>
      </w:r>
    </w:p>
    <w:p w14:paraId="23F78941" w14:textId="77777777" w:rsidR="00E86443" w:rsidRPr="00423F87" w:rsidRDefault="00E86443" w:rsidP="00605DD0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 w:rsidRPr="00423F87">
        <w:rPr>
          <w:rFonts w:ascii="Times New Roman" w:hAnsi="Times New Roman" w:cs="Times New Roman"/>
          <w:sz w:val="20"/>
          <w:szCs w:val="20"/>
        </w:rPr>
        <w:t>〈</w:t>
      </w:r>
      <w:r w:rsidR="00605DD0" w:rsidRPr="00423F87">
        <w:rPr>
          <w:rFonts w:ascii="Times New Roman" w:hAnsi="Times New Roman" w:cs="Times New Roman" w:hint="eastAsia"/>
          <w:sz w:val="20"/>
          <w:szCs w:val="20"/>
        </w:rPr>
        <w:t>四大產業促澳經濟多元</w:t>
      </w:r>
      <w:r w:rsidRPr="00423F87">
        <w:rPr>
          <w:rFonts w:ascii="Times New Roman" w:hAnsi="Times New Roman" w:cs="Times New Roman" w:hint="eastAsia"/>
          <w:sz w:val="20"/>
          <w:szCs w:val="20"/>
        </w:rPr>
        <w:t>〉，</w:t>
      </w:r>
      <w:r w:rsidR="00605DD0" w:rsidRPr="00423F87">
        <w:rPr>
          <w:rFonts w:ascii="Times New Roman" w:hAnsi="Times New Roman" w:cs="Times New Roman" w:hint="eastAsia"/>
          <w:sz w:val="20"/>
          <w:szCs w:val="20"/>
        </w:rPr>
        <w:t>澳門特別行政區政府</w:t>
      </w:r>
      <w:r w:rsidRPr="00423F87">
        <w:rPr>
          <w:rFonts w:ascii="Times New Roman" w:hAnsi="Times New Roman" w:cs="Times New Roman"/>
          <w:sz w:val="20"/>
          <w:szCs w:val="20"/>
        </w:rPr>
        <w:t>網頁</w:t>
      </w:r>
    </w:p>
    <w:p w14:paraId="6A5935F0" w14:textId="77777777" w:rsidR="00E86443" w:rsidRPr="00CC3CBE" w:rsidRDefault="00605DD0" w:rsidP="00E86443">
      <w:pPr>
        <w:pStyle w:val="a3"/>
        <w:adjustRightInd w:val="0"/>
        <w:snapToGrid w:val="0"/>
        <w:ind w:leftChars="0" w:left="397"/>
        <w:jc w:val="both"/>
        <w:rPr>
          <w:rFonts w:ascii="Times New Roman" w:hAnsi="Times New Roman" w:cs="Times New Roman"/>
          <w:sz w:val="20"/>
          <w:szCs w:val="20"/>
        </w:rPr>
      </w:pPr>
      <w:r w:rsidRPr="00CC3CBE">
        <w:rPr>
          <w:rFonts w:ascii="Times New Roman" w:hAnsi="Times New Roman" w:cs="Times New Roman"/>
          <w:sz w:val="20"/>
          <w:szCs w:val="20"/>
        </w:rPr>
        <w:t>https://www.scdt.gov.mo/zh-hant/%E5%9B%9B%E5%A4%A7%E7%94%A2%E6%A5%AD%E4%BF%83%E6%BE%B3%E7%B6%93%E6%BF%9F%E5%A4%9A%E5%85%83/</w:t>
      </w:r>
    </w:p>
    <w:p w14:paraId="7B772248" w14:textId="0AD1F837" w:rsidR="00ED77D8" w:rsidRDefault="00ED77D8" w:rsidP="00ED77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資料</w:t>
      </w:r>
      <w:r w:rsidR="00C80E9B">
        <w:rPr>
          <w:rFonts w:ascii="Times New Roman" w:hAnsi="Times New Roman" w:cs="Times New Roman"/>
        </w:rPr>
        <w:t>五</w:t>
      </w:r>
      <w:r w:rsidRPr="009C1281">
        <w:rPr>
          <w:rFonts w:ascii="Times New Roman" w:hAnsi="Times New Roman" w:cs="Times New Roman"/>
        </w:rPr>
        <w:t>：</w:t>
      </w:r>
      <w:r w:rsidR="00D47538">
        <w:rPr>
          <w:rFonts w:ascii="Times New Roman" w:hAnsi="Times New Roman" w:cs="Times New Roman"/>
        </w:rPr>
        <w:t>簡介</w:t>
      </w:r>
      <w:proofErr w:type="gramStart"/>
      <w:r w:rsidR="00D47538">
        <w:rPr>
          <w:rFonts w:ascii="Times New Roman" w:hAnsi="Times New Roman" w:cs="Times New Roman"/>
        </w:rPr>
        <w:t>橫琴新</w:t>
      </w:r>
      <w:proofErr w:type="gramEnd"/>
      <w:r w:rsidR="00D47538">
        <w:rPr>
          <w:rFonts w:ascii="Times New Roman" w:hAnsi="Times New Roman" w:cs="Times New Roman"/>
        </w:rPr>
        <w:t>區規劃建設展示廳</w:t>
      </w:r>
    </w:p>
    <w:p w14:paraId="246B2C27" w14:textId="77777777" w:rsidR="00D47538" w:rsidRDefault="00D47538" w:rsidP="00BD4F20">
      <w:pPr>
        <w:adjustRightInd w:val="0"/>
        <w:snapToGrid w:val="0"/>
        <w:spacing w:line="12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47538" w14:paraId="410DE99C" w14:textId="77777777" w:rsidTr="00BD4F20">
        <w:trPr>
          <w:trHeight w:val="4165"/>
        </w:trPr>
        <w:tc>
          <w:tcPr>
            <w:tcW w:w="8296" w:type="dxa"/>
            <w:vAlign w:val="center"/>
          </w:tcPr>
          <w:p w14:paraId="3E89A1B8" w14:textId="77777777" w:rsidR="00D47538" w:rsidRDefault="00CC3CBE" w:rsidP="00BD4F20">
            <w:pPr>
              <w:ind w:firstLineChars="200" w:firstLine="480"/>
              <w:jc w:val="both"/>
              <w:rPr>
                <w:rFonts w:ascii="Times New Roman" w:hAnsi="Times New Roman" w:cs="Times New Roman"/>
              </w:rPr>
            </w:pPr>
            <w:r w:rsidRPr="00605DD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DAE0908" wp14:editId="589D441B">
                  <wp:simplePos x="0" y="0"/>
                  <wp:positionH relativeFrom="column">
                    <wp:posOffset>3400425</wp:posOffset>
                  </wp:positionH>
                  <wp:positionV relativeFrom="paragraph">
                    <wp:posOffset>29210</wp:posOffset>
                  </wp:positionV>
                  <wp:extent cx="1652905" cy="1002030"/>
                  <wp:effectExtent l="19050" t="19050" r="23495" b="2667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100203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80E9B" w:rsidRPr="00B21CBE">
              <w:rPr>
                <w:rFonts w:ascii="Times New Roman" w:hAnsi="Times New Roman" w:cs="Times New Roman" w:hint="eastAsia"/>
              </w:rPr>
              <w:t>橫琴新</w:t>
            </w:r>
            <w:proofErr w:type="gramEnd"/>
            <w:r w:rsidR="00C80E9B" w:rsidRPr="00B21CBE">
              <w:rPr>
                <w:rFonts w:ascii="Times New Roman" w:hAnsi="Times New Roman" w:cs="Times New Roman" w:hint="eastAsia"/>
              </w:rPr>
              <w:t>區規劃建設展示廳</w:t>
            </w:r>
            <w:r w:rsidR="00605DD0"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  <w:lang w:eastAsia="zh-HK"/>
              </w:rPr>
              <w:t>右</w:t>
            </w:r>
            <w:r w:rsidR="00F838DA">
              <w:rPr>
                <w:rFonts w:ascii="Times New Roman" w:hAnsi="Times New Roman" w:cs="Times New Roman" w:hint="eastAsia"/>
              </w:rPr>
              <w:t>圖）</w:t>
            </w:r>
            <w:r w:rsidR="00C80E9B" w:rsidRPr="00B21CBE">
              <w:rPr>
                <w:rFonts w:ascii="Times New Roman" w:hAnsi="Times New Roman" w:cs="Times New Roman" w:hint="eastAsia"/>
              </w:rPr>
              <w:t>位於蓮花大橋北側，是宣傳推</w:t>
            </w:r>
            <w:proofErr w:type="gramStart"/>
            <w:r w:rsidR="00C80E9B" w:rsidRPr="00B21CBE">
              <w:rPr>
                <w:rFonts w:ascii="Times New Roman" w:hAnsi="Times New Roman" w:cs="Times New Roman" w:hint="eastAsia"/>
              </w:rPr>
              <w:t>介橫琴</w:t>
            </w:r>
            <w:proofErr w:type="gramEnd"/>
            <w:r w:rsidR="00C80E9B" w:rsidRPr="00B21CBE">
              <w:rPr>
                <w:rFonts w:ascii="Times New Roman" w:hAnsi="Times New Roman" w:cs="Times New Roman" w:hint="eastAsia"/>
              </w:rPr>
              <w:t>的主要平</w:t>
            </w:r>
            <w:r w:rsidR="00C80E9B">
              <w:rPr>
                <w:rFonts w:ascii="Times New Roman" w:hAnsi="Times New Roman" w:cs="Times New Roman"/>
              </w:rPr>
              <w:t>台</w:t>
            </w:r>
            <w:r w:rsidR="00C80E9B" w:rsidRPr="00B21CBE">
              <w:rPr>
                <w:rFonts w:ascii="Times New Roman" w:hAnsi="Times New Roman" w:cs="Times New Roman" w:hint="eastAsia"/>
              </w:rPr>
              <w:t>，主要功能為招商引資。</w:t>
            </w:r>
            <w:r w:rsidR="00C80E9B" w:rsidRPr="00C80E9B">
              <w:rPr>
                <w:rFonts w:ascii="Times New Roman" w:hAnsi="Times New Roman" w:cs="Times New Roman" w:hint="eastAsia"/>
              </w:rPr>
              <w:t>展示廳建築面積達</w:t>
            </w:r>
            <w:r w:rsidR="00C80E9B" w:rsidRPr="00C80E9B">
              <w:rPr>
                <w:rFonts w:ascii="Times New Roman" w:hAnsi="Times New Roman" w:cs="Times New Roman"/>
              </w:rPr>
              <w:t>3</w:t>
            </w:r>
            <w:r w:rsidR="00C80E9B">
              <w:rPr>
                <w:rFonts w:ascii="Times New Roman" w:hAnsi="Times New Roman" w:cs="Times New Roman"/>
              </w:rPr>
              <w:t>,</w:t>
            </w:r>
            <w:r w:rsidR="00C80E9B" w:rsidRPr="00C80E9B">
              <w:rPr>
                <w:rFonts w:ascii="Times New Roman" w:hAnsi="Times New Roman" w:cs="Times New Roman"/>
              </w:rPr>
              <w:t>000</w:t>
            </w:r>
            <w:r w:rsidR="00C80E9B" w:rsidRPr="00C80E9B">
              <w:rPr>
                <w:rFonts w:ascii="Times New Roman" w:hAnsi="Times New Roman" w:cs="Times New Roman" w:hint="eastAsia"/>
              </w:rPr>
              <w:t>平方米，具體包括佔地</w:t>
            </w:r>
            <w:r w:rsidR="00C80E9B" w:rsidRPr="00C80E9B">
              <w:rPr>
                <w:rFonts w:ascii="Times New Roman" w:hAnsi="Times New Roman" w:cs="Times New Roman"/>
              </w:rPr>
              <w:t>760</w:t>
            </w:r>
            <w:r w:rsidR="00C80E9B" w:rsidRPr="00C80E9B">
              <w:rPr>
                <w:rFonts w:ascii="Times New Roman" w:hAnsi="Times New Roman" w:cs="Times New Roman" w:hint="eastAsia"/>
              </w:rPr>
              <w:t>平方米規劃展示大廳，以及貴賓接待廳</w:t>
            </w:r>
            <w:r>
              <w:rPr>
                <w:rFonts w:ascii="Times New Roman" w:hAnsi="Times New Roman" w:cs="Times New Roman" w:hint="eastAsia"/>
                <w:lang w:eastAsia="zh-HK"/>
              </w:rPr>
              <w:t>、</w:t>
            </w:r>
            <w:r w:rsidR="00C80E9B" w:rsidRPr="00C80E9B">
              <w:rPr>
                <w:rFonts w:ascii="Times New Roman" w:hAnsi="Times New Roman" w:cs="Times New Roman" w:hint="eastAsia"/>
              </w:rPr>
              <w:t>會議室</w:t>
            </w:r>
            <w:r>
              <w:rPr>
                <w:rFonts w:ascii="Times New Roman" w:hAnsi="Times New Roman" w:cs="Times New Roman" w:hint="eastAsia"/>
                <w:lang w:eastAsia="zh-HK"/>
              </w:rPr>
              <w:t>、</w:t>
            </w:r>
            <w:r w:rsidR="00C80E9B" w:rsidRPr="00C80E9B">
              <w:rPr>
                <w:rFonts w:ascii="Times New Roman" w:hAnsi="Times New Roman" w:cs="Times New Roman" w:hint="eastAsia"/>
              </w:rPr>
              <w:t>接待餐廳及辦公區域。</w:t>
            </w:r>
            <w:r w:rsidR="00C80E9B" w:rsidRPr="00B21CBE">
              <w:rPr>
                <w:rFonts w:ascii="Times New Roman" w:hAnsi="Times New Roman" w:cs="Times New Roman" w:hint="eastAsia"/>
              </w:rPr>
              <w:t>展</w:t>
            </w:r>
            <w:r w:rsidR="00C80E9B">
              <w:rPr>
                <w:rFonts w:ascii="Times New Roman" w:hAnsi="Times New Roman" w:cs="Times New Roman" w:hint="eastAsia"/>
              </w:rPr>
              <w:t>示</w:t>
            </w:r>
            <w:r w:rsidR="00C80E9B" w:rsidRPr="00B21CBE">
              <w:rPr>
                <w:rFonts w:ascii="Times New Roman" w:hAnsi="Times New Roman" w:cs="Times New Roman" w:hint="eastAsia"/>
              </w:rPr>
              <w:t>廳中央區為</w:t>
            </w:r>
            <w:proofErr w:type="gramStart"/>
            <w:r w:rsidR="00C80E9B" w:rsidRPr="00B21CBE">
              <w:rPr>
                <w:rFonts w:ascii="Times New Roman" w:hAnsi="Times New Roman" w:cs="Times New Roman" w:hint="eastAsia"/>
              </w:rPr>
              <w:t>未來橫琴的</w:t>
            </w:r>
            <w:proofErr w:type="gramEnd"/>
            <w:r w:rsidR="00C80E9B" w:rsidRPr="00B21CBE">
              <w:rPr>
                <w:rFonts w:ascii="Times New Roman" w:hAnsi="Times New Roman" w:cs="Times New Roman" w:hint="eastAsia"/>
              </w:rPr>
              <w:t>建築模型，配合影視</w:t>
            </w:r>
            <w:proofErr w:type="gramStart"/>
            <w:r w:rsidR="00C80E9B" w:rsidRPr="00B21CBE">
              <w:rPr>
                <w:rFonts w:ascii="Times New Roman" w:hAnsi="Times New Roman" w:cs="Times New Roman" w:hint="eastAsia"/>
              </w:rPr>
              <w:t>短片</w:t>
            </w:r>
            <w:r w:rsidR="00C80E9B">
              <w:rPr>
                <w:rFonts w:ascii="Times New Roman" w:hAnsi="Times New Roman" w:cs="Times New Roman" w:hint="eastAsia"/>
              </w:rPr>
              <w:t>向參觀者描繪</w:t>
            </w:r>
            <w:r w:rsidR="00C80E9B" w:rsidRPr="00B21CBE">
              <w:rPr>
                <w:rFonts w:ascii="Times New Roman" w:hAnsi="Times New Roman" w:cs="Times New Roman" w:hint="eastAsia"/>
              </w:rPr>
              <w:t>橫琴未來</w:t>
            </w:r>
            <w:proofErr w:type="gramEnd"/>
            <w:r w:rsidR="00C80E9B" w:rsidRPr="00B21CBE">
              <w:rPr>
                <w:rFonts w:ascii="Times New Roman" w:hAnsi="Times New Roman" w:cs="Times New Roman" w:hint="eastAsia"/>
              </w:rPr>
              <w:t>的</w:t>
            </w:r>
            <w:r w:rsidR="00C80E9B">
              <w:rPr>
                <w:rFonts w:ascii="Times New Roman" w:hAnsi="Times New Roman" w:cs="Times New Roman" w:hint="eastAsia"/>
              </w:rPr>
              <w:t>前景。該建築</w:t>
            </w:r>
            <w:r w:rsidR="00C80E9B" w:rsidRPr="00B21CBE">
              <w:rPr>
                <w:rFonts w:ascii="Times New Roman" w:hAnsi="Times New Roman" w:cs="Times New Roman" w:hint="eastAsia"/>
              </w:rPr>
              <w:t>模型</w:t>
            </w:r>
            <w:r w:rsidR="00C80E9B">
              <w:rPr>
                <w:rFonts w:ascii="Times New Roman" w:hAnsi="Times New Roman" w:cs="Times New Roman" w:hint="eastAsia"/>
              </w:rPr>
              <w:t>的</w:t>
            </w:r>
            <w:r w:rsidR="00C80E9B" w:rsidRPr="00B21CBE">
              <w:rPr>
                <w:rFonts w:ascii="Times New Roman" w:hAnsi="Times New Roman" w:cs="Times New Roman" w:hint="eastAsia"/>
              </w:rPr>
              <w:t>最大特點</w:t>
            </w:r>
            <w:r w:rsidR="00C80E9B">
              <w:rPr>
                <w:rFonts w:ascii="Times New Roman" w:hAnsi="Times New Roman" w:cs="Times New Roman" w:hint="eastAsia"/>
              </w:rPr>
              <w:t>，</w:t>
            </w:r>
            <w:r w:rsidR="00C80E9B" w:rsidRPr="00B21CBE">
              <w:rPr>
                <w:rFonts w:ascii="Times New Roman" w:hAnsi="Times New Roman" w:cs="Times New Roman" w:hint="eastAsia"/>
              </w:rPr>
              <w:t>是將動畫特</w:t>
            </w:r>
            <w:r w:rsidR="00C80E9B">
              <w:rPr>
                <w:rFonts w:ascii="Times New Roman" w:hAnsi="Times New Roman" w:cs="Times New Roman" w:hint="eastAsia"/>
              </w:rPr>
              <w:t>別</w:t>
            </w:r>
            <w:r w:rsidR="00C80E9B" w:rsidRPr="00B21CBE">
              <w:rPr>
                <w:rFonts w:ascii="Times New Roman" w:hAnsi="Times New Roman" w:cs="Times New Roman" w:hint="eastAsia"/>
              </w:rPr>
              <w:t>效</w:t>
            </w:r>
            <w:r w:rsidR="00C80E9B">
              <w:rPr>
                <w:rFonts w:ascii="Times New Roman" w:hAnsi="Times New Roman" w:cs="Times New Roman" w:hint="eastAsia"/>
              </w:rPr>
              <w:t>果</w:t>
            </w:r>
            <w:r w:rsidR="00C80E9B" w:rsidRPr="00B21CBE">
              <w:rPr>
                <w:rFonts w:ascii="Times New Roman" w:hAnsi="Times New Roman" w:cs="Times New Roman" w:hint="eastAsia"/>
              </w:rPr>
              <w:t>引入到規劃設計理念</w:t>
            </w:r>
            <w:r w:rsidR="00C80E9B">
              <w:rPr>
                <w:rFonts w:ascii="Times New Roman" w:hAnsi="Times New Roman" w:cs="Times New Roman" w:hint="eastAsia"/>
              </w:rPr>
              <w:t>當</w:t>
            </w:r>
            <w:r w:rsidR="00C80E9B" w:rsidRPr="00B21CBE">
              <w:rPr>
                <w:rFonts w:ascii="Times New Roman" w:hAnsi="Times New Roman" w:cs="Times New Roman" w:hint="eastAsia"/>
              </w:rPr>
              <w:t>中</w:t>
            </w:r>
            <w:r w:rsidR="00C80E9B">
              <w:rPr>
                <w:rFonts w:ascii="Times New Roman" w:hAnsi="Times New Roman" w:cs="Times New Roman"/>
              </w:rPr>
              <w:t>，</w:t>
            </w:r>
            <w:r w:rsidR="00C80E9B" w:rsidRPr="00B21CBE">
              <w:rPr>
                <w:rFonts w:ascii="Times New Roman" w:hAnsi="Times New Roman" w:cs="Times New Roman" w:hint="eastAsia"/>
              </w:rPr>
              <w:t>採用先進的多媒體技術和電腦控制技術，逼真演示十字門商務區</w:t>
            </w:r>
            <w:r w:rsidR="00C80E9B">
              <w:rPr>
                <w:rFonts w:ascii="Times New Roman" w:hAnsi="Times New Roman" w:cs="Times New Roman" w:hint="eastAsia"/>
              </w:rPr>
              <w:t>（橫琴的未來商務中心區規劃）</w:t>
            </w:r>
            <w:r w:rsidR="00C80E9B" w:rsidRPr="00B21CBE">
              <w:rPr>
                <w:rFonts w:ascii="Times New Roman" w:hAnsi="Times New Roman" w:cs="Times New Roman" w:hint="eastAsia"/>
              </w:rPr>
              <w:t>各區域</w:t>
            </w:r>
            <w:r w:rsidR="00C80E9B">
              <w:rPr>
                <w:rFonts w:ascii="Times New Roman" w:hAnsi="Times New Roman" w:cs="Times New Roman" w:hint="eastAsia"/>
              </w:rPr>
              <w:t>的情況。參觀者</w:t>
            </w:r>
            <w:r w:rsidR="009130EF">
              <w:rPr>
                <w:rFonts w:ascii="Times New Roman" w:hAnsi="Times New Roman" w:cs="Times New Roman" w:hint="eastAsia"/>
                <w:lang w:eastAsia="zh-HK"/>
              </w:rPr>
              <w:t>還可以</w:t>
            </w:r>
            <w:r w:rsidR="00C80E9B" w:rsidRPr="00B21CBE">
              <w:rPr>
                <w:rFonts w:ascii="Times New Roman" w:hAnsi="Times New Roman" w:cs="Times New Roman" w:hint="eastAsia"/>
              </w:rPr>
              <w:t>通過觸控式螢幕、多點互動桌面等與沙盤進行互動</w:t>
            </w:r>
            <w:r w:rsidR="00C80E9B">
              <w:rPr>
                <w:rFonts w:ascii="Times New Roman" w:hAnsi="Times New Roman" w:cs="Times New Roman" w:hint="eastAsia"/>
              </w:rPr>
              <w:t>，</w:t>
            </w:r>
            <w:r w:rsidR="00C80E9B" w:rsidRPr="00B21CBE">
              <w:rPr>
                <w:rFonts w:ascii="Times New Roman" w:hAnsi="Times New Roman" w:cs="Times New Roman" w:hint="eastAsia"/>
              </w:rPr>
              <w:t>看到由數</w:t>
            </w:r>
            <w:r w:rsidR="00C80E9B">
              <w:rPr>
                <w:rFonts w:ascii="Times New Roman" w:hAnsi="Times New Roman" w:cs="Times New Roman" w:hint="eastAsia"/>
              </w:rPr>
              <w:t>碼</w:t>
            </w:r>
            <w:proofErr w:type="gramStart"/>
            <w:r w:rsidR="00C80E9B">
              <w:rPr>
                <w:rFonts w:ascii="Times New Roman" w:hAnsi="Times New Roman" w:cs="Times New Roman" w:hint="eastAsia"/>
              </w:rPr>
              <w:t>調</w:t>
            </w:r>
            <w:r w:rsidR="00C80E9B" w:rsidRPr="00B21CBE">
              <w:rPr>
                <w:rFonts w:ascii="Times New Roman" w:hAnsi="Times New Roman" w:cs="Times New Roman" w:hint="eastAsia"/>
              </w:rPr>
              <w:t>控</w:t>
            </w:r>
            <w:r w:rsidR="00C80E9B">
              <w:rPr>
                <w:rFonts w:ascii="Times New Roman" w:hAnsi="Times New Roman" w:cs="Times New Roman" w:hint="eastAsia"/>
              </w:rPr>
              <w:t>光影</w:t>
            </w:r>
            <w:proofErr w:type="gramEnd"/>
            <w:r w:rsidR="00C80E9B">
              <w:rPr>
                <w:rFonts w:ascii="Times New Roman" w:hAnsi="Times New Roman" w:cs="Times New Roman" w:hint="eastAsia"/>
              </w:rPr>
              <w:t>沙盤</w:t>
            </w:r>
            <w:proofErr w:type="gramStart"/>
            <w:r w:rsidR="00C80E9B">
              <w:rPr>
                <w:rFonts w:ascii="Times New Roman" w:hAnsi="Times New Roman" w:cs="Times New Roman" w:hint="eastAsia"/>
              </w:rPr>
              <w:t>和全息投影</w:t>
            </w:r>
            <w:proofErr w:type="gramEnd"/>
            <w:r w:rsidR="00C80E9B">
              <w:rPr>
                <w:rFonts w:ascii="Times New Roman" w:hAnsi="Times New Roman" w:cs="Times New Roman" w:hint="eastAsia"/>
              </w:rPr>
              <w:t>成像技術所呈現出的十字門城市設計及建築規劃</w:t>
            </w:r>
            <w:r w:rsidR="00C80E9B" w:rsidRPr="00B21CBE">
              <w:rPr>
                <w:rFonts w:ascii="Times New Roman" w:hAnsi="Times New Roman" w:cs="Times New Roman" w:hint="eastAsia"/>
              </w:rPr>
              <w:t>，全面瞭解十字門</w:t>
            </w:r>
            <w:r w:rsidR="009130EF" w:rsidRPr="009130EF">
              <w:rPr>
                <w:rFonts w:ascii="Times New Roman" w:hAnsi="Times New Roman" w:cs="Times New Roman" w:hint="eastAsia"/>
              </w:rPr>
              <w:t>商務區</w:t>
            </w:r>
            <w:r w:rsidR="00C80E9B" w:rsidRPr="00B21CBE">
              <w:rPr>
                <w:rFonts w:ascii="Times New Roman" w:hAnsi="Times New Roman" w:cs="Times New Roman" w:hint="eastAsia"/>
              </w:rPr>
              <w:t>的未來</w:t>
            </w:r>
            <w:r w:rsidR="00C80E9B">
              <w:rPr>
                <w:rFonts w:ascii="Times New Roman" w:hAnsi="Times New Roman" w:cs="Times New Roman" w:hint="eastAsia"/>
              </w:rPr>
              <w:t>發展。</w:t>
            </w:r>
          </w:p>
        </w:tc>
      </w:tr>
    </w:tbl>
    <w:p w14:paraId="4DC7D060" w14:textId="77777777" w:rsidR="003E4E0B" w:rsidRDefault="00C80E9B" w:rsidP="00C80E9B">
      <w:pPr>
        <w:adjustRightInd w:val="0"/>
        <w:snapToGrid w:val="0"/>
        <w:jc w:val="both"/>
        <w:rPr>
          <w:rFonts w:ascii="Times New Roman" w:hAnsi="Times New Roman" w:cs="Times New Roman"/>
          <w:sz w:val="20"/>
          <w:szCs w:val="20"/>
        </w:rPr>
      </w:pPr>
      <w:r w:rsidRPr="00C80E9B">
        <w:rPr>
          <w:rFonts w:ascii="Times New Roman" w:hAnsi="Times New Roman" w:cs="Times New Roman"/>
          <w:sz w:val="20"/>
          <w:szCs w:val="20"/>
        </w:rPr>
        <w:t>參考資料：</w:t>
      </w:r>
    </w:p>
    <w:p w14:paraId="0591D064" w14:textId="77777777" w:rsidR="003E4E0B" w:rsidRPr="003E4E0B" w:rsidRDefault="00C80E9B" w:rsidP="00BD4F20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20"/>
          <w:szCs w:val="20"/>
        </w:rPr>
      </w:pPr>
      <w:r w:rsidRPr="003E4E0B">
        <w:rPr>
          <w:rFonts w:ascii="Times New Roman" w:hAnsi="Times New Roman" w:cs="Times New Roman"/>
          <w:sz w:val="20"/>
          <w:szCs w:val="20"/>
        </w:rPr>
        <w:t>〈橫琴新區規劃建設展示廳〉，</w:t>
      </w:r>
      <w:proofErr w:type="gramStart"/>
      <w:r w:rsidRPr="003E4E0B">
        <w:rPr>
          <w:rFonts w:ascii="Times New Roman" w:hAnsi="Times New Roman" w:cs="Times New Roman"/>
          <w:sz w:val="20"/>
          <w:szCs w:val="20"/>
        </w:rPr>
        <w:t>雲館聯盟</w:t>
      </w:r>
      <w:proofErr w:type="gramEnd"/>
      <w:r w:rsidRPr="003E4E0B">
        <w:rPr>
          <w:rFonts w:ascii="Times New Roman" w:hAnsi="Times New Roman" w:cs="Times New Roman"/>
          <w:sz w:val="20"/>
          <w:szCs w:val="20"/>
        </w:rPr>
        <w:t>網頁</w:t>
      </w:r>
    </w:p>
    <w:p w14:paraId="45F433D1" w14:textId="77777777" w:rsidR="00B21CBE" w:rsidRPr="00BD4F20" w:rsidRDefault="004C7026" w:rsidP="00BD4F20">
      <w:pPr>
        <w:pStyle w:val="a3"/>
        <w:adjustRightInd w:val="0"/>
        <w:snapToGrid w:val="0"/>
        <w:ind w:leftChars="0" w:left="397"/>
        <w:jc w:val="both"/>
        <w:rPr>
          <w:rFonts w:ascii="Times New Roman" w:hAnsi="Times New Roman" w:cs="Times New Roman"/>
          <w:sz w:val="20"/>
          <w:szCs w:val="20"/>
        </w:rPr>
      </w:pPr>
      <w:r w:rsidRPr="00BD4F20">
        <w:rPr>
          <w:rFonts w:ascii="Times New Roman" w:hAnsi="Times New Roman" w:cs="Times New Roman"/>
          <w:sz w:val="20"/>
          <w:szCs w:val="20"/>
        </w:rPr>
        <w:t>http://yunguanvr.com/gaikuang/jianjie/?RoomID=399</w:t>
      </w:r>
    </w:p>
    <w:p w14:paraId="4474A833" w14:textId="77777777" w:rsidR="003E4E0B" w:rsidRPr="00BD4F20" w:rsidRDefault="003E4E0B" w:rsidP="00BD4F20">
      <w:pPr>
        <w:pStyle w:val="a3"/>
        <w:numPr>
          <w:ilvl w:val="0"/>
          <w:numId w:val="7"/>
        </w:numPr>
        <w:adjustRightInd w:val="0"/>
        <w:snapToGrid w:val="0"/>
        <w:ind w:leftChars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20"/>
          <w:szCs w:val="20"/>
          <w:lang w:eastAsia="zh-HK"/>
        </w:rPr>
        <w:t>〈</w:t>
      </w:r>
      <w:r w:rsidRPr="003E4E0B">
        <w:rPr>
          <w:rFonts w:ascii="Times New Roman" w:hAnsi="Times New Roman" w:cs="Times New Roman" w:hint="eastAsia"/>
          <w:sz w:val="20"/>
          <w:szCs w:val="20"/>
          <w:lang w:eastAsia="zh-HK"/>
        </w:rPr>
        <w:t>高科技加持</w:t>
      </w:r>
      <w:r w:rsidRPr="003E4E0B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 </w:t>
      </w:r>
      <w:r w:rsidRPr="003E4E0B">
        <w:rPr>
          <w:rFonts w:ascii="Times New Roman" w:hAnsi="Times New Roman" w:cs="Times New Roman" w:hint="eastAsia"/>
          <w:sz w:val="20"/>
          <w:szCs w:val="20"/>
          <w:lang w:eastAsia="zh-HK"/>
        </w:rPr>
        <w:t>橫琴新區規劃建設展示廳顏值高</w:t>
      </w:r>
      <w:r>
        <w:rPr>
          <w:rFonts w:ascii="Times New Roman" w:hAnsi="Times New Roman" w:cs="Times New Roman" w:hint="eastAsia"/>
          <w:sz w:val="20"/>
          <w:szCs w:val="20"/>
          <w:lang w:eastAsia="zh-HK"/>
        </w:rPr>
        <w:t>〉</w:t>
      </w:r>
      <w:r w:rsidR="004C7026" w:rsidRPr="00BD4F20">
        <w:rPr>
          <w:rFonts w:ascii="Times New Roman" w:hAnsi="Times New Roman" w:cs="Times New Roman" w:hint="eastAsia"/>
          <w:sz w:val="20"/>
          <w:szCs w:val="20"/>
          <w:lang w:eastAsia="zh-HK"/>
        </w:rPr>
        <w:t>中國文化研究院當代中國網頁</w:t>
      </w:r>
    </w:p>
    <w:p w14:paraId="4A658D1C" w14:textId="77777777" w:rsidR="004C7026" w:rsidRPr="004C5079" w:rsidRDefault="004C7026" w:rsidP="00BD4F20">
      <w:pPr>
        <w:adjustRightInd w:val="0"/>
        <w:snapToGrid w:val="0"/>
        <w:ind w:leftChars="200" w:left="480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4C5079">
        <w:rPr>
          <w:rFonts w:ascii="Times New Roman" w:hAnsi="Times New Roman" w:cs="Times New Roman"/>
          <w:sz w:val="17"/>
          <w:szCs w:val="17"/>
        </w:rPr>
        <w:t>https://www.ourchinastory.com/zh/5670/%E5%85%AC%E6%B0%91%E7%A7%91%E8%80%83%E5%AF%9F%EF%BD%9C%E6%A9%AB%E7%90%B4%E8%A6%8F%E5%8A%83%E5%BB%BA%E8%A8%AD%E5%B1%95%E7%A4%BA%E5%BB%B3%20%203D%E5%B7%A8%E5%B9%95VR%E9%AB%94%E9%A9%97%E5%AF%93%E5%A5%BD%E7%8E%A9%E6%96%BC%E5%AD%B8%E7%BF%92</w:t>
      </w:r>
      <w:proofErr w:type="gramEnd"/>
    </w:p>
    <w:p w14:paraId="34E34A2F" w14:textId="77777777" w:rsidR="00B90611" w:rsidRDefault="00B90611" w:rsidP="00ED77D8">
      <w:pPr>
        <w:jc w:val="both"/>
        <w:rPr>
          <w:rFonts w:ascii="Times New Roman" w:hAnsi="Times New Roman" w:cs="Times New Roman"/>
        </w:rPr>
      </w:pPr>
    </w:p>
    <w:p w14:paraId="0EA1ACD7" w14:textId="77777777" w:rsidR="00B21CBE" w:rsidRDefault="00B90611" w:rsidP="00ED77D8">
      <w:pPr>
        <w:jc w:val="both"/>
        <w:rPr>
          <w:rFonts w:ascii="Times New Roman" w:hAnsi="Times New Roman" w:cs="Times New Roman"/>
          <w:b/>
        </w:rPr>
      </w:pPr>
      <w:r w:rsidRPr="00B90611">
        <w:rPr>
          <w:rFonts w:ascii="Times New Roman" w:hAnsi="Times New Roman" w:cs="Times New Roman" w:hint="eastAsia"/>
          <w:b/>
        </w:rPr>
        <w:t>預習題目</w:t>
      </w:r>
    </w:p>
    <w:p w14:paraId="6B707DAF" w14:textId="77777777" w:rsidR="00235A40" w:rsidRPr="00B90611" w:rsidRDefault="00235A40" w:rsidP="00BD4F20">
      <w:pPr>
        <w:adjustRightInd w:val="0"/>
        <w:snapToGrid w:val="0"/>
        <w:spacing w:line="120" w:lineRule="auto"/>
        <w:jc w:val="both"/>
        <w:rPr>
          <w:rFonts w:ascii="Times New Roman" w:hAnsi="Times New Roman" w:cs="Times New Roman"/>
          <w:b/>
        </w:rPr>
      </w:pPr>
    </w:p>
    <w:p w14:paraId="55928AA6" w14:textId="77777777" w:rsidR="00B21CBE" w:rsidRDefault="00235A40" w:rsidP="00235A40">
      <w:pPr>
        <w:pStyle w:val="Default"/>
        <w:numPr>
          <w:ilvl w:val="0"/>
          <w:numId w:val="8"/>
        </w:numPr>
        <w:adjustRightInd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  <w:r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根據資料一</w:t>
      </w:r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，</w:t>
      </w:r>
      <w:r w:rsidR="009130E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分別概述</w:t>
      </w:r>
      <w:proofErr w:type="gramStart"/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港珠澳</w:t>
      </w:r>
      <w:proofErr w:type="gramEnd"/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大橋在施工建設上的成就</w:t>
      </w:r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，</w:t>
      </w:r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以及其在交通方面聯繫</w:t>
      </w:r>
      <w:proofErr w:type="gramStart"/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港珠澳</w:t>
      </w:r>
      <w:proofErr w:type="gramEnd"/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三地的功能</w:t>
      </w:r>
      <w:r w:rsidR="0054177F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。</w:t>
      </w:r>
    </w:p>
    <w:p w14:paraId="71DDE7AE" w14:textId="77777777" w:rsidR="005438CB" w:rsidRDefault="005438CB" w:rsidP="00BD4F20">
      <w:pPr>
        <w:pStyle w:val="Default"/>
        <w:snapToGrid w:val="0"/>
        <w:spacing w:line="180" w:lineRule="auto"/>
        <w:jc w:val="both"/>
        <w:rPr>
          <w:rFonts w:ascii="Times New Roman" w:eastAsiaTheme="minorEastAsia" w:hAnsi="Times New Roman" w:cs="Times New Roman"/>
          <w:shd w:val="clear" w:color="auto" w:fill="FFFFFF" w:themeFill="background1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5438CB" w14:paraId="6810ACB5" w14:textId="77777777" w:rsidTr="00C64E31">
        <w:trPr>
          <w:trHeight w:val="2423"/>
        </w:trPr>
        <w:tc>
          <w:tcPr>
            <w:tcW w:w="8359" w:type="dxa"/>
          </w:tcPr>
          <w:p w14:paraId="690DF532" w14:textId="77777777" w:rsidR="005438CB" w:rsidRP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  <w:r w:rsidRPr="005438C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施工建設上的成就</w:t>
            </w:r>
          </w:p>
          <w:p w14:paraId="57846A16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0DE6AF8D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9162EDA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73102FA4" w14:textId="77777777" w:rsidR="003E4E0B" w:rsidRDefault="003E4E0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27FA0885" w14:textId="77777777" w:rsidR="009130EF" w:rsidRDefault="009130EF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F00AD99" w14:textId="6194E3F5" w:rsidR="0097274A" w:rsidRDefault="0097274A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  <w:tr w:rsidR="005438CB" w14:paraId="5CE9FF30" w14:textId="77777777" w:rsidTr="00C64E31">
        <w:trPr>
          <w:trHeight w:val="2400"/>
        </w:trPr>
        <w:tc>
          <w:tcPr>
            <w:tcW w:w="8359" w:type="dxa"/>
          </w:tcPr>
          <w:p w14:paraId="62BE8BB2" w14:textId="77777777" w:rsidR="005438CB" w:rsidRP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b/>
                <w:shd w:val="clear" w:color="auto" w:fill="FFFFFF" w:themeFill="background1"/>
              </w:rPr>
            </w:pPr>
            <w:r w:rsidRPr="005438C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  <w:lang w:eastAsia="zh-HK"/>
              </w:rPr>
              <w:t>聯</w:t>
            </w:r>
            <w:r w:rsidRPr="005438C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繫</w:t>
            </w:r>
            <w:proofErr w:type="gramStart"/>
            <w:r w:rsidRPr="005438C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港珠澳</w:t>
            </w:r>
            <w:proofErr w:type="gramEnd"/>
            <w:r w:rsidRPr="005438CB">
              <w:rPr>
                <w:rFonts w:ascii="Times New Roman" w:eastAsiaTheme="minorEastAsia" w:hAnsi="Times New Roman" w:cs="Times New Roman" w:hint="eastAsia"/>
                <w:b/>
                <w:shd w:val="clear" w:color="auto" w:fill="FFFFFF" w:themeFill="background1"/>
              </w:rPr>
              <w:t>三地的功能</w:t>
            </w:r>
          </w:p>
          <w:p w14:paraId="430213BD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1BC1EF7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17AA5A5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19318C20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01858C0D" w14:textId="77777777" w:rsidR="005438CB" w:rsidRDefault="005438CB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74B5CE2" w14:textId="77777777" w:rsidR="0097274A" w:rsidRDefault="0097274A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1CD971A8" w14:textId="30813141" w:rsidR="0097274A" w:rsidRDefault="0097274A" w:rsidP="005438CB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</w:tbl>
    <w:p w14:paraId="17EFC761" w14:textId="335E9101" w:rsidR="00B21CBE" w:rsidRPr="00776334" w:rsidRDefault="00A93FBA" w:rsidP="0097274A">
      <w:pPr>
        <w:pStyle w:val="Default"/>
        <w:numPr>
          <w:ilvl w:val="0"/>
          <w:numId w:val="8"/>
        </w:numPr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CB5E37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lastRenderedPageBreak/>
        <w:t>根據資料二</w:t>
      </w:r>
      <w:r w:rsidRPr="00CB5E37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至</w:t>
      </w:r>
      <w:r w:rsidRPr="00CB5E37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四，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並從網上搜集</w:t>
      </w:r>
      <w:r w:rsidR="005A55B2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澳門特區的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相關資料</w:t>
      </w:r>
      <w:r w:rsidR="005A55B2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（</w:t>
      </w:r>
      <w:r w:rsidR="005A55B2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例如土地面積、產業結構</w:t>
      </w:r>
      <w:r w:rsidR="005A55B2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）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，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從擴展可用土地、配合發展建設、促進經濟多元方向、融入國家發展大局</w:t>
      </w:r>
      <w:r w:rsidR="00F63649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四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方面</w:t>
      </w:r>
      <w:r w:rsidR="00776334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，</w:t>
      </w:r>
      <w:proofErr w:type="gramStart"/>
      <w:r w:rsidRPr="00CB5E37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說明橫琴發展</w:t>
      </w:r>
      <w:proofErr w:type="gramEnd"/>
      <w:r w:rsidRPr="00CB5E37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規劃</w:t>
      </w:r>
      <w:r w:rsidR="00CB5E37">
        <w:rPr>
          <w:rFonts w:ascii="Times New Roman" w:eastAsiaTheme="minorEastAsia" w:hAnsi="Times New Roman" w:cs="Times New Roman" w:hint="eastAsia"/>
          <w:shd w:val="clear" w:color="auto" w:fill="FFFFFF" w:themeFill="background1"/>
          <w:lang w:eastAsia="zh-HK"/>
        </w:rPr>
        <w:t>對於澳門整體發展的受惠之處</w:t>
      </w:r>
      <w:r w:rsidR="00CB5E37">
        <w:rPr>
          <w:rFonts w:ascii="Times New Roman" w:eastAsiaTheme="minorEastAsia" w:hAnsi="Times New Roman" w:cs="Times New Roman" w:hint="eastAsia"/>
          <w:shd w:val="clear" w:color="auto" w:fill="FFFFFF" w:themeFill="background1"/>
        </w:rPr>
        <w:t>。</w:t>
      </w:r>
    </w:p>
    <w:p w14:paraId="64C0A024" w14:textId="77777777" w:rsidR="00D22D1F" w:rsidRPr="00776334" w:rsidRDefault="00D22D1F" w:rsidP="00D22D1F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776334" w14:paraId="1756DDFA" w14:textId="77777777" w:rsidTr="00D22D1F">
        <w:tc>
          <w:tcPr>
            <w:tcW w:w="562" w:type="dxa"/>
            <w:shd w:val="clear" w:color="auto" w:fill="FBE4D5" w:themeFill="accent2" w:themeFillTint="33"/>
            <w:vAlign w:val="center"/>
          </w:tcPr>
          <w:p w14:paraId="4CCC5EFE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擴</w:t>
            </w:r>
          </w:p>
          <w:p w14:paraId="57650EEA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展</w:t>
            </w:r>
          </w:p>
          <w:p w14:paraId="5AF9FC46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可</w:t>
            </w:r>
          </w:p>
          <w:p w14:paraId="434FFE65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用</w:t>
            </w:r>
          </w:p>
          <w:p w14:paraId="6EDF30EB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土</w:t>
            </w:r>
          </w:p>
          <w:p w14:paraId="0364AB79" w14:textId="77777777" w:rsidR="00776334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地</w:t>
            </w:r>
          </w:p>
        </w:tc>
        <w:tc>
          <w:tcPr>
            <w:tcW w:w="7734" w:type="dxa"/>
          </w:tcPr>
          <w:p w14:paraId="4812FD6D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1B91087B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25FF0DE8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4C5521A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0EB7A99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4CB208A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FAC299F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AC58A49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  <w:tr w:rsidR="00776334" w14:paraId="0A23AB87" w14:textId="77777777" w:rsidTr="00D22D1F">
        <w:tc>
          <w:tcPr>
            <w:tcW w:w="562" w:type="dxa"/>
            <w:shd w:val="clear" w:color="auto" w:fill="FBE4D5" w:themeFill="accent2" w:themeFillTint="33"/>
            <w:vAlign w:val="center"/>
          </w:tcPr>
          <w:p w14:paraId="7A8E6FEC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配</w:t>
            </w:r>
          </w:p>
          <w:p w14:paraId="4568A21A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合</w:t>
            </w:r>
          </w:p>
          <w:p w14:paraId="5A1F928A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發</w:t>
            </w:r>
          </w:p>
          <w:p w14:paraId="0845A2D6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展</w:t>
            </w:r>
          </w:p>
          <w:p w14:paraId="72849207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建</w:t>
            </w:r>
          </w:p>
          <w:p w14:paraId="62E30FC6" w14:textId="77777777" w:rsidR="00776334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設</w:t>
            </w:r>
          </w:p>
        </w:tc>
        <w:tc>
          <w:tcPr>
            <w:tcW w:w="7734" w:type="dxa"/>
          </w:tcPr>
          <w:p w14:paraId="3BE11B3C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5DEB3C0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0BA29642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776B1CB8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339A844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5F9286C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2908A68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E1A8315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  <w:tr w:rsidR="00776334" w14:paraId="04B5B542" w14:textId="77777777" w:rsidTr="00D22D1F">
        <w:tc>
          <w:tcPr>
            <w:tcW w:w="562" w:type="dxa"/>
            <w:shd w:val="clear" w:color="auto" w:fill="FBE4D5" w:themeFill="accent2" w:themeFillTint="33"/>
            <w:vAlign w:val="center"/>
          </w:tcPr>
          <w:p w14:paraId="157806EE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促</w:t>
            </w:r>
          </w:p>
          <w:p w14:paraId="38AE845F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進</w:t>
            </w:r>
          </w:p>
          <w:p w14:paraId="1A18F4ED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經</w:t>
            </w:r>
          </w:p>
          <w:p w14:paraId="4A78D55B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濟</w:t>
            </w:r>
          </w:p>
          <w:p w14:paraId="189DD2D0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多</w:t>
            </w:r>
          </w:p>
          <w:p w14:paraId="79AD255D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元</w:t>
            </w:r>
          </w:p>
          <w:p w14:paraId="027F5CA5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方</w:t>
            </w:r>
          </w:p>
          <w:p w14:paraId="6B11E328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向</w:t>
            </w:r>
          </w:p>
        </w:tc>
        <w:tc>
          <w:tcPr>
            <w:tcW w:w="7734" w:type="dxa"/>
          </w:tcPr>
          <w:p w14:paraId="28445EBC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1F31DBF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6C92538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605495A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53DBE56D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5FD575F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530DAA02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1038E09F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4E3FE80A" w14:textId="2F84AEF6" w:rsidR="0097274A" w:rsidRDefault="0097274A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  <w:tr w:rsidR="00776334" w14:paraId="280264BE" w14:textId="77777777" w:rsidTr="00D22D1F">
        <w:tc>
          <w:tcPr>
            <w:tcW w:w="562" w:type="dxa"/>
            <w:shd w:val="clear" w:color="auto" w:fill="FBE4D5" w:themeFill="accent2" w:themeFillTint="33"/>
            <w:vAlign w:val="center"/>
          </w:tcPr>
          <w:p w14:paraId="49F74E7D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融</w:t>
            </w:r>
          </w:p>
          <w:p w14:paraId="2F8ADD04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入</w:t>
            </w:r>
          </w:p>
          <w:p w14:paraId="7D4DA07E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國</w:t>
            </w:r>
          </w:p>
          <w:p w14:paraId="2612EAE6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家</w:t>
            </w:r>
          </w:p>
          <w:p w14:paraId="3ECA4D66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發</w:t>
            </w:r>
          </w:p>
          <w:p w14:paraId="720825B5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展</w:t>
            </w:r>
          </w:p>
          <w:p w14:paraId="3D9B80EC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大</w:t>
            </w:r>
          </w:p>
          <w:p w14:paraId="11ADB46E" w14:textId="77777777" w:rsidR="00776334" w:rsidRPr="00D22D1F" w:rsidRDefault="00776334" w:rsidP="00776334">
            <w:pPr>
              <w:pStyle w:val="Default"/>
              <w:adjustRightInd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D22D1F">
              <w:rPr>
                <w:rFonts w:ascii="Times New Roman" w:eastAsiaTheme="minorEastAsia" w:hAnsi="Times New Roman" w:cs="Times New Roman" w:hint="eastAsia"/>
                <w:b/>
              </w:rPr>
              <w:t>局</w:t>
            </w:r>
          </w:p>
        </w:tc>
        <w:tc>
          <w:tcPr>
            <w:tcW w:w="7734" w:type="dxa"/>
          </w:tcPr>
          <w:p w14:paraId="4FEF9981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5E0D6E3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0DA080F5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0621E207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5CE8DF1D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6CC43AB1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F0C8C5D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3B612A12" w14:textId="77777777" w:rsidR="00776334" w:rsidRDefault="00776334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  <w:p w14:paraId="5F71B38F" w14:textId="1CA32F7A" w:rsidR="0097274A" w:rsidRDefault="0097274A" w:rsidP="00776334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shd w:val="clear" w:color="auto" w:fill="FFFFFF" w:themeFill="background1"/>
              </w:rPr>
            </w:pPr>
          </w:p>
        </w:tc>
      </w:tr>
    </w:tbl>
    <w:p w14:paraId="7EDFA729" w14:textId="76CB3715" w:rsidR="00ED77D8" w:rsidRPr="00022701" w:rsidRDefault="00ED77D8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lastRenderedPageBreak/>
        <w:t>丙</w:t>
      </w:r>
      <w:r w:rsidRPr="00022701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022701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022701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考察期間的任務</w:t>
      </w:r>
    </w:p>
    <w:p w14:paraId="651CBD70" w14:textId="77777777" w:rsidR="00ED77D8" w:rsidRDefault="00ED77D8" w:rsidP="00ED77D8">
      <w:pPr>
        <w:rPr>
          <w:rFonts w:ascii="Times New Roman" w:hAnsi="Times New Roman" w:cs="Times New Roman"/>
          <w:szCs w:val="24"/>
        </w:rPr>
      </w:pPr>
    </w:p>
    <w:p w14:paraId="1A9C611C" w14:textId="77777777" w:rsidR="00ED77D8" w:rsidRDefault="00ED77D8" w:rsidP="00ED77D8">
      <w:pPr>
        <w:adjustRightInd w:val="0"/>
        <w:snapToGrid w:val="0"/>
        <w:rPr>
          <w:rFonts w:ascii="Times New Roman" w:hAnsi="Times New Roman" w:cs="Times New Roman"/>
          <w:b/>
          <w:szCs w:val="24"/>
          <w:lang w:eastAsia="zh-HK"/>
        </w:rPr>
      </w:pPr>
      <w:r w:rsidRPr="00B76A40">
        <w:rPr>
          <w:rFonts w:ascii="Times New Roman" w:hAnsi="Times New Roman" w:cs="Times New Roman"/>
          <w:b/>
          <w:szCs w:val="24"/>
          <w:u w:val="thick"/>
        </w:rPr>
        <w:t>任務</w:t>
      </w:r>
      <w:proofErr w:type="gramStart"/>
      <w:r w:rsidRPr="00B76A40">
        <w:rPr>
          <w:rFonts w:ascii="Times New Roman" w:hAnsi="Times New Roman" w:cs="Times New Roman"/>
          <w:b/>
          <w:szCs w:val="24"/>
          <w:u w:val="thick"/>
        </w:rPr>
        <w:t>一</w:t>
      </w:r>
      <w:proofErr w:type="gramEnd"/>
      <w:r w:rsidRPr="00B52F2A">
        <w:rPr>
          <w:rFonts w:ascii="Times New Roman" w:hAnsi="Times New Roman" w:cs="Times New Roman"/>
          <w:b/>
          <w:szCs w:val="24"/>
        </w:rPr>
        <w:t>：</w:t>
      </w:r>
      <w:r w:rsidR="00531FDC">
        <w:rPr>
          <w:rFonts w:ascii="Times New Roman" w:hAnsi="Times New Roman" w:cs="Times New Roman" w:hint="eastAsia"/>
          <w:b/>
          <w:szCs w:val="24"/>
          <w:lang w:eastAsia="zh-HK"/>
        </w:rPr>
        <w:t>考</w:t>
      </w:r>
      <w:r w:rsidR="00F273E0">
        <w:rPr>
          <w:rFonts w:ascii="Times New Roman" w:hAnsi="Times New Roman" w:cs="Times New Roman" w:hint="eastAsia"/>
          <w:b/>
          <w:szCs w:val="24"/>
          <w:lang w:eastAsia="zh-HK"/>
        </w:rPr>
        <w:t>察</w:t>
      </w:r>
      <w:proofErr w:type="gramStart"/>
      <w:r w:rsidR="00F273E0">
        <w:rPr>
          <w:rFonts w:ascii="Times New Roman" w:hAnsi="Times New Roman" w:cs="Times New Roman" w:hint="eastAsia"/>
          <w:b/>
          <w:szCs w:val="24"/>
          <w:lang w:eastAsia="zh-HK"/>
        </w:rPr>
        <w:t>港珠澳</w:t>
      </w:r>
      <w:proofErr w:type="gramEnd"/>
      <w:r w:rsidR="00F273E0">
        <w:rPr>
          <w:rFonts w:ascii="Times New Roman" w:hAnsi="Times New Roman" w:cs="Times New Roman" w:hint="eastAsia"/>
          <w:b/>
          <w:szCs w:val="24"/>
          <w:lang w:eastAsia="zh-HK"/>
        </w:rPr>
        <w:t>大橋的運作</w:t>
      </w:r>
    </w:p>
    <w:p w14:paraId="7C462677" w14:textId="77777777" w:rsidR="00694999" w:rsidRPr="00E92656" w:rsidRDefault="00694999" w:rsidP="00ED77D8">
      <w:pPr>
        <w:adjustRightInd w:val="0"/>
        <w:snapToGrid w:val="0"/>
        <w:rPr>
          <w:rFonts w:ascii="Times New Roman" w:hAnsi="Times New Roman" w:cs="Times New Roman"/>
          <w:szCs w:val="24"/>
        </w:rPr>
      </w:pPr>
    </w:p>
    <w:p w14:paraId="2A3EA562" w14:textId="77777777" w:rsidR="00694999" w:rsidRPr="00AC652B" w:rsidRDefault="00F273E0" w:rsidP="00AC652B">
      <w:pPr>
        <w:pStyle w:val="a3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b/>
          <w:szCs w:val="24"/>
          <w:u w:val="thick"/>
          <w:lang w:eastAsia="zh-HK"/>
        </w:rPr>
      </w:pPr>
      <w:r w:rsidRPr="00AC652B">
        <w:rPr>
          <w:rFonts w:ascii="Times New Roman" w:hAnsi="Times New Roman" w:cs="Times New Roman" w:hint="eastAsia"/>
          <w:szCs w:val="24"/>
          <w:lang w:eastAsia="zh-HK"/>
        </w:rPr>
        <w:t>就你</w:t>
      </w:r>
      <w:r w:rsidR="00AC652B">
        <w:rPr>
          <w:rFonts w:ascii="Times New Roman" w:hAnsi="Times New Roman" w:cs="Times New Roman" w:hint="eastAsia"/>
          <w:szCs w:val="24"/>
          <w:lang w:eastAsia="zh-HK"/>
        </w:rPr>
        <w:t>乘坐旅遊車經</w:t>
      </w:r>
      <w:proofErr w:type="gramStart"/>
      <w:r w:rsidR="00AC652B">
        <w:rPr>
          <w:rFonts w:ascii="Times New Roman" w:hAnsi="Times New Roman" w:cs="Times New Roman" w:hint="eastAsia"/>
          <w:szCs w:val="24"/>
          <w:lang w:eastAsia="zh-HK"/>
        </w:rPr>
        <w:t>過</w:t>
      </w:r>
      <w:r w:rsidR="00AC652B" w:rsidRPr="00AC652B">
        <w:rPr>
          <w:rFonts w:ascii="Times New Roman" w:hAnsi="Times New Roman" w:cs="Times New Roman" w:hint="eastAsia"/>
          <w:szCs w:val="24"/>
          <w:lang w:eastAsia="zh-HK"/>
        </w:rPr>
        <w:t>港珠澳大橋</w:t>
      </w:r>
      <w:proofErr w:type="gramEnd"/>
      <w:r w:rsidR="00AC652B">
        <w:rPr>
          <w:rFonts w:ascii="Times New Roman" w:hAnsi="Times New Roman" w:cs="Times New Roman" w:hint="eastAsia"/>
          <w:szCs w:val="24"/>
        </w:rPr>
        <w:t>，</w:t>
      </w:r>
      <w:r w:rsidR="00AC652B">
        <w:rPr>
          <w:rFonts w:ascii="Times New Roman" w:hAnsi="Times New Roman" w:cs="Times New Roman" w:hint="eastAsia"/>
          <w:szCs w:val="24"/>
          <w:lang w:eastAsia="zh-HK"/>
        </w:rPr>
        <w:t>以及使用</w:t>
      </w:r>
      <w:r w:rsidR="008E4B98" w:rsidRPr="00AC652B">
        <w:rPr>
          <w:rFonts w:ascii="Times New Roman" w:hAnsi="Times New Roman" w:cs="Times New Roman" w:hint="eastAsia"/>
          <w:szCs w:val="24"/>
          <w:lang w:eastAsia="zh-HK"/>
        </w:rPr>
        <w:t>三地口岸出入境</w:t>
      </w:r>
      <w:r w:rsidR="00A065C5" w:rsidRPr="00AC652B">
        <w:rPr>
          <w:rFonts w:ascii="Times New Roman" w:hAnsi="Times New Roman" w:cs="Times New Roman" w:hint="eastAsia"/>
          <w:szCs w:val="24"/>
          <w:lang w:eastAsia="zh-HK"/>
        </w:rPr>
        <w:t>的經歷</w:t>
      </w:r>
      <w:r w:rsidR="00A065C5" w:rsidRPr="00AC652B">
        <w:rPr>
          <w:rFonts w:ascii="Times New Roman" w:hAnsi="Times New Roman" w:cs="Times New Roman" w:hint="eastAsia"/>
          <w:szCs w:val="24"/>
        </w:rPr>
        <w:t>，</w:t>
      </w:r>
      <w:r w:rsidR="00A065C5" w:rsidRPr="00AC652B">
        <w:rPr>
          <w:rFonts w:ascii="Times New Roman" w:hAnsi="Times New Roman" w:cs="Times New Roman" w:hint="eastAsia"/>
          <w:szCs w:val="24"/>
          <w:lang w:eastAsia="zh-HK"/>
        </w:rPr>
        <w:t>完成下表列出的觀察項目</w:t>
      </w:r>
      <w:r w:rsidR="00A065C5" w:rsidRPr="00AC652B">
        <w:rPr>
          <w:rFonts w:ascii="Times New Roman" w:hAnsi="Times New Roman" w:cs="Times New Roman" w:hint="eastAsia"/>
          <w:szCs w:val="24"/>
        </w:rPr>
        <w:t>。</w:t>
      </w:r>
    </w:p>
    <w:p w14:paraId="405B67B5" w14:textId="77777777" w:rsidR="00A065C5" w:rsidRDefault="00A065C5" w:rsidP="00A065C5">
      <w:pPr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64E31" w14:paraId="368A0990" w14:textId="77777777" w:rsidTr="00C64E31">
        <w:tc>
          <w:tcPr>
            <w:tcW w:w="8359" w:type="dxa"/>
          </w:tcPr>
          <w:p w14:paraId="0848103A" w14:textId="6E873502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E4B98">
              <w:rPr>
                <w:rFonts w:ascii="Times New Roman" w:hAnsi="Times New Roman" w:cs="Times New Roman" w:hint="eastAsia"/>
                <w:szCs w:val="24"/>
                <w:lang w:eastAsia="zh-HK"/>
              </w:rPr>
              <w:t>口岸大樓</w:t>
            </w:r>
            <w:r w:rsidR="0097274A">
              <w:rPr>
                <w:rFonts w:ascii="Times New Roman" w:hAnsi="Times New Roman" w:cs="Times New Roman" w:hint="eastAsia"/>
                <w:szCs w:val="24"/>
                <w:lang w:eastAsia="zh-HK"/>
              </w:rPr>
              <w:t>內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便利</w:t>
            </w:r>
            <w:r w:rsidR="0097274A">
              <w:rPr>
                <w:rFonts w:ascii="Times New Roman" w:hAnsi="Times New Roman" w:cs="Times New Roman" w:hint="eastAsia"/>
                <w:szCs w:val="24"/>
                <w:lang w:eastAsia="zh-HK"/>
              </w:rPr>
              <w:t>旅客的設施</w:t>
            </w:r>
          </w:p>
          <w:p w14:paraId="4FA3390B" w14:textId="77777777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43D028C6" w14:textId="17AD4B5C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6E30BB4C" w14:textId="5E8E3942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1137937D" w14:textId="77777777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2D2A1900" w14:textId="77777777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430DF32F" w14:textId="77777777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09373848" w14:textId="77777777" w:rsidR="00C64E31" w:rsidRDefault="00C64E31" w:rsidP="00A065C5">
            <w:pPr>
              <w:rPr>
                <w:rFonts w:ascii="Times New Roman" w:hAnsi="Times New Roman" w:cs="Times New Roman"/>
                <w:szCs w:val="24"/>
              </w:rPr>
            </w:pPr>
          </w:p>
          <w:p w14:paraId="2676CC58" w14:textId="77777777" w:rsidR="00C64E31" w:rsidRPr="00142EE2" w:rsidRDefault="00C64E31" w:rsidP="00A065C5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C64E31" w14:paraId="49291547" w14:textId="77777777" w:rsidTr="00C64E31">
        <w:tc>
          <w:tcPr>
            <w:tcW w:w="8359" w:type="dxa"/>
          </w:tcPr>
          <w:p w14:paraId="00F51EA0" w14:textId="32BCEBE0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5613A6">
              <w:rPr>
                <w:rFonts w:ascii="Times New Roman" w:hAnsi="Times New Roman" w:cs="Times New Roman" w:hint="eastAsia"/>
                <w:szCs w:val="24"/>
                <w:lang w:eastAsia="zh-HK"/>
              </w:rPr>
              <w:t>其他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觀察所得</w:t>
            </w:r>
          </w:p>
          <w:p w14:paraId="56A49433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2D64B96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21E7D60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6BCBB73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81C615C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3CFD493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71AD02F" w14:textId="77777777" w:rsidR="00C64E31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AB19189" w14:textId="77777777" w:rsidR="00C64E31" w:rsidRPr="008E4B98" w:rsidRDefault="00C64E31" w:rsidP="009E13D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772DDE19" w14:textId="77777777" w:rsidR="00C64E31" w:rsidRDefault="00C64E31" w:rsidP="00C64E31">
      <w:pPr>
        <w:pStyle w:val="a3"/>
        <w:ind w:leftChars="0" w:left="397"/>
        <w:jc w:val="both"/>
        <w:rPr>
          <w:rFonts w:ascii="Times New Roman" w:hAnsi="Times New Roman" w:cs="Times New Roman"/>
          <w:szCs w:val="24"/>
          <w:lang w:eastAsia="zh-HK"/>
        </w:rPr>
      </w:pPr>
    </w:p>
    <w:p w14:paraId="48221CD5" w14:textId="6FF4E705" w:rsidR="00D02E94" w:rsidRPr="00142EE2" w:rsidRDefault="00712703" w:rsidP="005613A6">
      <w:pPr>
        <w:pStyle w:val="a3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 w:rsidRPr="00142EE2">
        <w:rPr>
          <w:rFonts w:ascii="Times New Roman" w:hAnsi="Times New Roman" w:cs="Times New Roman" w:hint="eastAsia"/>
          <w:szCs w:val="24"/>
          <w:lang w:eastAsia="zh-HK"/>
        </w:rPr>
        <w:t>港珠澳</w:t>
      </w:r>
      <w:proofErr w:type="gramEnd"/>
      <w:r w:rsidRPr="00142EE2">
        <w:rPr>
          <w:rFonts w:ascii="Times New Roman" w:hAnsi="Times New Roman" w:cs="Times New Roman" w:hint="eastAsia"/>
          <w:szCs w:val="24"/>
          <w:lang w:eastAsia="zh-HK"/>
        </w:rPr>
        <w:t>大橋珠海口岸展示中心</w:t>
      </w:r>
      <w:r w:rsidR="005613A6">
        <w:rPr>
          <w:rFonts w:ascii="Times New Roman" w:hAnsi="Times New Roman" w:cs="Times New Roman" w:hint="eastAsia"/>
          <w:szCs w:val="24"/>
          <w:lang w:eastAsia="zh-HK"/>
        </w:rPr>
        <w:t>如何展示</w:t>
      </w:r>
      <w:proofErr w:type="gramStart"/>
      <w:r w:rsidR="0097274A">
        <w:rPr>
          <w:rFonts w:ascii="Times New Roman" w:hAnsi="Times New Roman" w:cs="Times New Roman" w:hint="eastAsia"/>
          <w:szCs w:val="24"/>
          <w:lang w:eastAsia="zh-HK"/>
        </w:rPr>
        <w:t>港珠澳</w:t>
      </w:r>
      <w:proofErr w:type="gramEnd"/>
      <w:r w:rsidRPr="00142EE2">
        <w:rPr>
          <w:rFonts w:ascii="Times New Roman" w:hAnsi="Times New Roman" w:cs="Times New Roman" w:hint="eastAsia"/>
          <w:szCs w:val="24"/>
          <w:lang w:eastAsia="zh-HK"/>
        </w:rPr>
        <w:t>三地</w:t>
      </w:r>
      <w:r w:rsidR="0097274A">
        <w:rPr>
          <w:rFonts w:ascii="Times New Roman" w:hAnsi="Times New Roman" w:cs="Times New Roman" w:hint="eastAsia"/>
          <w:szCs w:val="24"/>
          <w:lang w:eastAsia="zh-HK"/>
        </w:rPr>
        <w:t>的</w:t>
      </w:r>
      <w:r w:rsidRPr="00142EE2">
        <w:rPr>
          <w:rFonts w:ascii="Times New Roman" w:hAnsi="Times New Roman" w:cs="Times New Roman" w:hint="eastAsia"/>
          <w:szCs w:val="24"/>
          <w:lang w:eastAsia="zh-HK"/>
        </w:rPr>
        <w:t>協</w:t>
      </w:r>
      <w:r w:rsidR="005613A6" w:rsidRPr="005613A6">
        <w:rPr>
          <w:rFonts w:ascii="Times New Roman" w:hAnsi="Times New Roman" w:cs="Times New Roman" w:hint="eastAsia"/>
          <w:szCs w:val="24"/>
          <w:lang w:eastAsia="zh-HK"/>
        </w:rPr>
        <w:t>作</w:t>
      </w:r>
      <w:r w:rsidR="0097274A">
        <w:rPr>
          <w:rFonts w:ascii="Times New Roman" w:hAnsi="Times New Roman" w:cs="Times New Roman" w:hint="eastAsia"/>
          <w:szCs w:val="24"/>
          <w:lang w:eastAsia="zh-HK"/>
        </w:rPr>
        <w:t>情況</w:t>
      </w:r>
      <w:r w:rsidRPr="00142EE2">
        <w:rPr>
          <w:rFonts w:ascii="Times New Roman" w:hAnsi="Times New Roman" w:cs="Times New Roman" w:hint="eastAsia"/>
          <w:szCs w:val="24"/>
        </w:rPr>
        <w:t>，</w:t>
      </w:r>
      <w:r w:rsidR="005613A6" w:rsidRPr="005613A6">
        <w:rPr>
          <w:rFonts w:ascii="Times New Roman" w:hAnsi="Times New Roman" w:cs="Times New Roman" w:hint="eastAsia"/>
          <w:szCs w:val="24"/>
          <w:lang w:eastAsia="zh-HK"/>
        </w:rPr>
        <w:t>試</w:t>
      </w:r>
      <w:r w:rsidRPr="00142EE2">
        <w:rPr>
          <w:rFonts w:ascii="Times New Roman" w:hAnsi="Times New Roman" w:cs="Times New Roman" w:hint="eastAsia"/>
          <w:szCs w:val="24"/>
          <w:lang w:eastAsia="zh-HK"/>
        </w:rPr>
        <w:t>加以說明</w:t>
      </w:r>
      <w:r w:rsidRPr="00142EE2">
        <w:rPr>
          <w:rFonts w:ascii="Times New Roman" w:hAnsi="Times New Roman" w:cs="Times New Roman" w:hint="eastAsia"/>
          <w:szCs w:val="24"/>
        </w:rPr>
        <w:t>。</w:t>
      </w:r>
    </w:p>
    <w:p w14:paraId="5FB901A0" w14:textId="77777777" w:rsidR="00712703" w:rsidRDefault="00712703" w:rsidP="00712703">
      <w:pPr>
        <w:jc w:val="both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C64E31" w14:paraId="5D83225F" w14:textId="77777777" w:rsidTr="0097274A">
        <w:trPr>
          <w:trHeight w:val="3903"/>
        </w:trPr>
        <w:tc>
          <w:tcPr>
            <w:tcW w:w="8359" w:type="dxa"/>
          </w:tcPr>
          <w:p w14:paraId="76455DD3" w14:textId="77777777" w:rsidR="00C64E31" w:rsidRDefault="00C64E31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0409F83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B8935FA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AB5ABBB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56A75D6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A13B8E2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2776081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A3EEF7E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B7AC52" w14:textId="77777777" w:rsidR="00D663A4" w:rsidRDefault="00D663A4" w:rsidP="00712703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2B1847B1" w14:textId="186A5D76" w:rsidR="00D663A4" w:rsidRDefault="00D663A4" w:rsidP="00D663A4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39E7ACB1" w14:textId="43315164" w:rsidR="00ED77D8" w:rsidRDefault="00ED77D8" w:rsidP="00ED77D8">
      <w:pPr>
        <w:rPr>
          <w:rFonts w:ascii="Times New Roman" w:hAnsi="Times New Roman" w:cs="Times New Roman"/>
          <w:szCs w:val="24"/>
          <w:lang w:eastAsia="zh-HK"/>
        </w:rPr>
      </w:pPr>
      <w:r w:rsidRPr="00B85CC1">
        <w:rPr>
          <w:rFonts w:ascii="Times New Roman" w:hAnsi="Times New Roman" w:cs="Times New Roman" w:hint="eastAsia"/>
          <w:b/>
          <w:szCs w:val="24"/>
          <w:u w:val="thick"/>
          <w:lang w:eastAsia="zh-HK"/>
        </w:rPr>
        <w:lastRenderedPageBreak/>
        <w:t>任務</w:t>
      </w:r>
      <w:r>
        <w:rPr>
          <w:rFonts w:ascii="Times New Roman" w:hAnsi="Times New Roman" w:cs="Times New Roman" w:hint="eastAsia"/>
          <w:b/>
          <w:szCs w:val="24"/>
          <w:u w:val="thick"/>
          <w:lang w:eastAsia="zh-HK"/>
        </w:rPr>
        <w:t>二</w:t>
      </w:r>
      <w:r w:rsidRPr="00B85CC1">
        <w:rPr>
          <w:rFonts w:ascii="Times New Roman" w:hAnsi="Times New Roman" w:cs="Times New Roman" w:hint="eastAsia"/>
          <w:b/>
          <w:szCs w:val="24"/>
        </w:rPr>
        <w:t>：</w:t>
      </w:r>
      <w:r w:rsidR="005172FE">
        <w:rPr>
          <w:rFonts w:ascii="Times New Roman" w:hAnsi="Times New Roman" w:cs="Times New Roman"/>
          <w:b/>
          <w:szCs w:val="24"/>
        </w:rPr>
        <w:t>考察</w:t>
      </w:r>
      <w:proofErr w:type="gramStart"/>
      <w:r w:rsidR="005172FE">
        <w:rPr>
          <w:rFonts w:ascii="Times New Roman" w:hAnsi="Times New Roman" w:cs="Times New Roman" w:hint="eastAsia"/>
          <w:b/>
          <w:szCs w:val="24"/>
          <w:lang w:eastAsia="zh-HK"/>
        </w:rPr>
        <w:t>橫琴新</w:t>
      </w:r>
      <w:proofErr w:type="gramEnd"/>
      <w:r w:rsidR="005172FE">
        <w:rPr>
          <w:rFonts w:ascii="Times New Roman" w:hAnsi="Times New Roman" w:cs="Times New Roman" w:hint="eastAsia"/>
          <w:b/>
          <w:szCs w:val="24"/>
          <w:lang w:eastAsia="zh-HK"/>
        </w:rPr>
        <w:t>區的發展</w:t>
      </w:r>
      <w:r w:rsidR="001135CB">
        <w:rPr>
          <w:rFonts w:ascii="Times New Roman" w:hAnsi="Times New Roman" w:cs="Times New Roman" w:hint="eastAsia"/>
          <w:b/>
          <w:szCs w:val="24"/>
        </w:rPr>
        <w:t>（</w:t>
      </w:r>
      <w:r w:rsidR="00D346CE">
        <w:rPr>
          <w:rFonts w:ascii="Times New Roman" w:hAnsi="Times New Roman" w:cs="Times New Roman" w:hint="eastAsia"/>
          <w:b/>
          <w:szCs w:val="24"/>
          <w:lang w:eastAsia="zh-HK"/>
        </w:rPr>
        <w:t>包括</w:t>
      </w:r>
      <w:r w:rsidR="002342C4" w:rsidRPr="002342C4">
        <w:rPr>
          <w:rFonts w:ascii="Times New Roman" w:hAnsi="Times New Roman" w:cs="Times New Roman" w:hint="eastAsia"/>
          <w:b/>
          <w:szCs w:val="24"/>
        </w:rPr>
        <w:t>橫琴新區規劃建設</w:t>
      </w:r>
      <w:r w:rsidR="001135CB">
        <w:rPr>
          <w:rFonts w:ascii="Times New Roman" w:hAnsi="Times New Roman" w:cs="Times New Roman" w:hint="eastAsia"/>
          <w:b/>
          <w:szCs w:val="24"/>
          <w:lang w:eastAsia="zh-HK"/>
        </w:rPr>
        <w:t>展示廳與實地參觀</w:t>
      </w:r>
      <w:r w:rsidR="001135CB">
        <w:rPr>
          <w:rFonts w:ascii="Times New Roman" w:hAnsi="Times New Roman" w:cs="Times New Roman" w:hint="eastAsia"/>
          <w:b/>
          <w:szCs w:val="24"/>
        </w:rPr>
        <w:t>）</w:t>
      </w:r>
    </w:p>
    <w:p w14:paraId="07D8CB5C" w14:textId="77777777" w:rsidR="005172FE" w:rsidRDefault="005172FE" w:rsidP="005172FE">
      <w:pPr>
        <w:adjustRightInd w:val="0"/>
        <w:snapToGrid w:val="0"/>
        <w:spacing w:line="180" w:lineRule="auto"/>
        <w:rPr>
          <w:rFonts w:ascii="Times New Roman" w:hAnsi="Times New Roman" w:cs="Times New Roman"/>
          <w:b/>
          <w:szCs w:val="24"/>
          <w:u w:val="thick"/>
          <w:lang w:eastAsia="zh-HK"/>
        </w:rPr>
      </w:pPr>
    </w:p>
    <w:p w14:paraId="22FE3FB9" w14:textId="77777777" w:rsidR="00462EFD" w:rsidRDefault="00D02E94" w:rsidP="00200303">
      <w:pPr>
        <w:pStyle w:val="a3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橫琴新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區規劃建設展示廳</w:t>
      </w:r>
      <w:r w:rsidR="00C440F2">
        <w:rPr>
          <w:rFonts w:ascii="Times New Roman" w:hAnsi="Times New Roman" w:cs="Times New Roman" w:hint="eastAsia"/>
          <w:szCs w:val="24"/>
        </w:rPr>
        <w:t>，</w:t>
      </w:r>
      <w:r w:rsidR="002A3C2F">
        <w:rPr>
          <w:rFonts w:ascii="Times New Roman" w:hAnsi="Times New Roman" w:cs="Times New Roman" w:hint="eastAsia"/>
          <w:szCs w:val="24"/>
          <w:lang w:eastAsia="zh-HK"/>
        </w:rPr>
        <w:t>如何</w:t>
      </w:r>
      <w:proofErr w:type="gramStart"/>
      <w:r w:rsidR="002A3C2F">
        <w:rPr>
          <w:rFonts w:ascii="Times New Roman" w:hAnsi="Times New Roman" w:cs="Times New Roman" w:hint="eastAsia"/>
          <w:szCs w:val="24"/>
          <w:lang w:eastAsia="zh-HK"/>
        </w:rPr>
        <w:t>展示粵</w:t>
      </w:r>
      <w:proofErr w:type="gramEnd"/>
      <w:r w:rsidR="002A3C2F">
        <w:rPr>
          <w:rFonts w:ascii="Times New Roman" w:hAnsi="Times New Roman" w:cs="Times New Roman" w:hint="eastAsia"/>
          <w:szCs w:val="24"/>
          <w:lang w:eastAsia="zh-HK"/>
        </w:rPr>
        <w:t>港澳三地</w:t>
      </w:r>
      <w:r w:rsidR="00462EFD">
        <w:rPr>
          <w:rFonts w:ascii="Times New Roman" w:hAnsi="Times New Roman" w:cs="Times New Roman" w:hint="eastAsia"/>
          <w:szCs w:val="24"/>
          <w:lang w:eastAsia="zh-HK"/>
        </w:rPr>
        <w:t>的</w:t>
      </w:r>
      <w:r w:rsidR="002A3C2F">
        <w:rPr>
          <w:rFonts w:ascii="Times New Roman" w:hAnsi="Times New Roman" w:cs="Times New Roman" w:hint="eastAsia"/>
          <w:szCs w:val="24"/>
          <w:lang w:eastAsia="zh-HK"/>
        </w:rPr>
        <w:t>合作成果</w:t>
      </w:r>
      <w:r w:rsidR="002A3C2F">
        <w:rPr>
          <w:rFonts w:ascii="Times New Roman" w:hAnsi="Times New Roman" w:cs="Times New Roman" w:hint="eastAsia"/>
          <w:szCs w:val="24"/>
        </w:rPr>
        <w:t>，</w:t>
      </w:r>
      <w:proofErr w:type="gramStart"/>
      <w:r w:rsidR="002A3C2F">
        <w:rPr>
          <w:rFonts w:ascii="Times New Roman" w:hAnsi="Times New Roman" w:cs="Times New Roman" w:hint="eastAsia"/>
          <w:szCs w:val="24"/>
          <w:lang w:eastAsia="zh-HK"/>
        </w:rPr>
        <w:t>以及</w:t>
      </w:r>
      <w:r w:rsidR="00C440F2">
        <w:rPr>
          <w:rFonts w:ascii="Times New Roman" w:hAnsi="Times New Roman" w:cs="Times New Roman" w:hint="eastAsia"/>
          <w:szCs w:val="24"/>
          <w:lang w:eastAsia="zh-HK"/>
        </w:rPr>
        <w:t>橫琴</w:t>
      </w:r>
      <w:r w:rsidR="002A3C2F">
        <w:rPr>
          <w:rFonts w:ascii="Times New Roman" w:hAnsi="Times New Roman" w:cs="Times New Roman" w:hint="eastAsia"/>
          <w:szCs w:val="24"/>
          <w:lang w:eastAsia="zh-HK"/>
        </w:rPr>
        <w:t>在</w:t>
      </w:r>
      <w:proofErr w:type="gramEnd"/>
      <w:r w:rsidR="002A3C2F">
        <w:rPr>
          <w:rFonts w:ascii="Times New Roman" w:hAnsi="Times New Roman" w:cs="Times New Roman" w:hint="eastAsia"/>
          <w:szCs w:val="24"/>
          <w:lang w:eastAsia="zh-HK"/>
        </w:rPr>
        <w:t>推動經濟發展時重視</w:t>
      </w:r>
      <w:r w:rsidR="00AC652B">
        <w:rPr>
          <w:rFonts w:ascii="Times New Roman" w:hAnsi="Times New Roman" w:cs="Times New Roman" w:hint="eastAsia"/>
          <w:szCs w:val="24"/>
          <w:lang w:eastAsia="zh-HK"/>
        </w:rPr>
        <w:t>保護</w:t>
      </w:r>
      <w:r w:rsidR="002A3C2F" w:rsidRPr="002A3C2F">
        <w:rPr>
          <w:rFonts w:ascii="Times New Roman" w:hAnsi="Times New Roman" w:cs="Times New Roman" w:hint="eastAsia"/>
          <w:szCs w:val="24"/>
        </w:rPr>
        <w:t>生態環境</w:t>
      </w:r>
      <w:r w:rsidR="002A3C2F">
        <w:rPr>
          <w:rFonts w:ascii="Times New Roman" w:hAnsi="Times New Roman" w:cs="Times New Roman" w:hint="eastAsia"/>
          <w:szCs w:val="24"/>
        </w:rPr>
        <w:t>？</w:t>
      </w:r>
      <w:r w:rsidR="00200303">
        <w:rPr>
          <w:rFonts w:ascii="Times New Roman" w:hAnsi="Times New Roman" w:cs="Times New Roman" w:hint="eastAsia"/>
          <w:szCs w:val="24"/>
          <w:lang w:eastAsia="zh-HK"/>
        </w:rPr>
        <w:t>試</w:t>
      </w:r>
      <w:r w:rsidR="006F60CE">
        <w:rPr>
          <w:rFonts w:ascii="Times New Roman" w:hAnsi="Times New Roman" w:cs="Times New Roman" w:hint="eastAsia"/>
          <w:szCs w:val="24"/>
          <w:lang w:eastAsia="zh-HK"/>
        </w:rPr>
        <w:t>在</w:t>
      </w:r>
      <w:r w:rsidR="00C440F2">
        <w:rPr>
          <w:rFonts w:ascii="Times New Roman" w:hAnsi="Times New Roman" w:cs="Times New Roman" w:hint="eastAsia"/>
          <w:szCs w:val="24"/>
          <w:lang w:eastAsia="zh-HK"/>
        </w:rPr>
        <w:t>下表說明參觀所得</w:t>
      </w:r>
      <w:r w:rsidR="00462EFD">
        <w:rPr>
          <w:rFonts w:ascii="Times New Roman" w:hAnsi="Times New Roman" w:cs="Times New Roman" w:hint="eastAsia"/>
          <w:szCs w:val="24"/>
        </w:rPr>
        <w:t>。</w:t>
      </w:r>
    </w:p>
    <w:p w14:paraId="0EDF51A2" w14:textId="77777777" w:rsidR="00C440F2" w:rsidRDefault="00C440F2" w:rsidP="00462EFD">
      <w:pPr>
        <w:pStyle w:val="a3"/>
        <w:ind w:leftChars="0" w:left="397"/>
        <w:jc w:val="both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</w:rPr>
        <w:t>（</w:t>
      </w:r>
      <w:proofErr w:type="gramEnd"/>
      <w:r w:rsidRPr="006F60CE">
        <w:rPr>
          <w:rFonts w:ascii="Times New Roman" w:hAnsi="Times New Roman" w:cs="Times New Roman" w:hint="eastAsia"/>
          <w:color w:val="FF0000"/>
          <w:szCs w:val="24"/>
          <w:lang w:eastAsia="zh-HK"/>
        </w:rPr>
        <w:t>提示</w:t>
      </w:r>
      <w:r w:rsidRPr="006F60CE">
        <w:rPr>
          <w:rFonts w:ascii="Times New Roman" w:hAnsi="Times New Roman" w:cs="Times New Roman" w:hint="eastAsia"/>
          <w:color w:val="FF0000"/>
          <w:szCs w:val="24"/>
        </w:rPr>
        <w:t>：</w:t>
      </w:r>
      <w:r w:rsidRPr="006F60CE">
        <w:rPr>
          <w:rFonts w:ascii="Times New Roman" w:hAnsi="Times New Roman" w:cs="Times New Roman" w:hint="eastAsia"/>
          <w:color w:val="FF0000"/>
          <w:szCs w:val="24"/>
          <w:lang w:eastAsia="zh-HK"/>
        </w:rPr>
        <w:t>綜合展品內容和</w:t>
      </w:r>
      <w:proofErr w:type="gramStart"/>
      <w:r w:rsidRPr="006F60CE">
        <w:rPr>
          <w:rFonts w:ascii="Times New Roman" w:hAnsi="Times New Roman" w:cs="Times New Roman" w:hint="eastAsia"/>
          <w:color w:val="FF0000"/>
          <w:szCs w:val="24"/>
          <w:lang w:eastAsia="zh-HK"/>
        </w:rPr>
        <w:t>導賞</w:t>
      </w:r>
      <w:proofErr w:type="gramEnd"/>
      <w:r w:rsidRPr="006F60CE">
        <w:rPr>
          <w:rFonts w:ascii="Times New Roman" w:hAnsi="Times New Roman" w:cs="Times New Roman" w:hint="eastAsia"/>
          <w:color w:val="FF0000"/>
          <w:szCs w:val="24"/>
          <w:lang w:eastAsia="zh-HK"/>
        </w:rPr>
        <w:t>員講解</w:t>
      </w:r>
      <w:proofErr w:type="gramStart"/>
      <w:r>
        <w:rPr>
          <w:rFonts w:ascii="Times New Roman" w:hAnsi="Times New Roman" w:cs="Times New Roman" w:hint="eastAsia"/>
          <w:szCs w:val="24"/>
        </w:rPr>
        <w:t>）</w:t>
      </w:r>
      <w:proofErr w:type="gramEnd"/>
      <w:r>
        <w:rPr>
          <w:rFonts w:ascii="Times New Roman" w:hAnsi="Times New Roman" w:cs="Times New Roman" w:hint="eastAsia"/>
          <w:szCs w:val="24"/>
        </w:rPr>
        <w:t>。</w:t>
      </w:r>
    </w:p>
    <w:p w14:paraId="284B7AE3" w14:textId="77777777" w:rsidR="005172FE" w:rsidRDefault="00200303" w:rsidP="00C440F2">
      <w:pPr>
        <w:pStyle w:val="a3"/>
        <w:ind w:leftChars="0" w:left="397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5172FE" w14:paraId="71C88770" w14:textId="77777777" w:rsidTr="00256203">
        <w:tc>
          <w:tcPr>
            <w:tcW w:w="562" w:type="dxa"/>
            <w:shd w:val="clear" w:color="auto" w:fill="FBE4D5" w:themeFill="accent2" w:themeFillTint="33"/>
            <w:vAlign w:val="center"/>
          </w:tcPr>
          <w:p w14:paraId="72B6116E" w14:textId="77777777" w:rsidR="005172FE" w:rsidRPr="00462EFD" w:rsidRDefault="00462EFD" w:rsidP="00256203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462EFD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粵港澳三地合作成果</w:t>
            </w:r>
          </w:p>
        </w:tc>
        <w:tc>
          <w:tcPr>
            <w:tcW w:w="7734" w:type="dxa"/>
          </w:tcPr>
          <w:p w14:paraId="4DC7A74A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F69A54F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2F7C954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6F35848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08EA7EA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CC62BE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AF50FB4" w14:textId="77777777" w:rsidR="002907F4" w:rsidRDefault="002907F4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6685B5C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C85B2B5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025C53D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40C75D3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D10F020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6DD8D89C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2FAC279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90361B7" w14:textId="77777777" w:rsidR="0088303D" w:rsidRPr="003D0537" w:rsidRDefault="0088303D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5172FE" w14:paraId="35AAD5F1" w14:textId="77777777" w:rsidTr="00256203">
        <w:trPr>
          <w:trHeight w:val="5957"/>
        </w:trPr>
        <w:tc>
          <w:tcPr>
            <w:tcW w:w="562" w:type="dxa"/>
            <w:shd w:val="clear" w:color="auto" w:fill="FBE4D5" w:themeFill="accent2" w:themeFillTint="33"/>
            <w:vAlign w:val="center"/>
          </w:tcPr>
          <w:p w14:paraId="3500CB59" w14:textId="77777777" w:rsidR="005172FE" w:rsidRDefault="00462EFD" w:rsidP="00AC652B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62EFD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重視</w:t>
            </w:r>
            <w:r w:rsidR="00AC652B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保護</w:t>
            </w:r>
            <w:r w:rsidRPr="00462EFD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生態環境</w:t>
            </w:r>
          </w:p>
        </w:tc>
        <w:tc>
          <w:tcPr>
            <w:tcW w:w="7734" w:type="dxa"/>
          </w:tcPr>
          <w:p w14:paraId="7A85F251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FADF739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FF231D4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196E700E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CCD7AFD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1F414B4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BCAFA3B" w14:textId="77777777" w:rsidR="002907F4" w:rsidRDefault="002907F4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4EE9628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0034596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8916927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D7BD8F4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733EF608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5171989A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DF823FD" w14:textId="77777777" w:rsidR="005172FE" w:rsidRDefault="005172FE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038964CD" w14:textId="77777777" w:rsidR="0088303D" w:rsidRDefault="0088303D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48ECAF50" w14:textId="77777777" w:rsidR="0088303D" w:rsidRDefault="0088303D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14:paraId="3B0E7BA9" w14:textId="77777777" w:rsidR="0088303D" w:rsidRPr="003D0537" w:rsidRDefault="0088303D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14:paraId="75DE4654" w14:textId="77777777" w:rsidR="00462EFD" w:rsidRPr="00CB25E0" w:rsidRDefault="00462EFD" w:rsidP="00CB25E0">
      <w:pPr>
        <w:rPr>
          <w:rFonts w:ascii="Times New Roman" w:hAnsi="Times New Roman" w:cs="Times New Roman"/>
          <w:szCs w:val="24"/>
          <w:lang w:eastAsia="zh-HK"/>
        </w:rPr>
      </w:pPr>
    </w:p>
    <w:p w14:paraId="69F34B4D" w14:textId="7BB5021D" w:rsidR="00ED77D8" w:rsidRPr="0088303D" w:rsidRDefault="00A875D8" w:rsidP="002033AB">
      <w:pPr>
        <w:pStyle w:val="a3"/>
        <w:numPr>
          <w:ilvl w:val="0"/>
          <w:numId w:val="11"/>
        </w:numPr>
        <w:ind w:leftChars="0"/>
        <w:jc w:val="both"/>
        <w:rPr>
          <w:lang w:eastAsia="zh-HK"/>
        </w:rPr>
      </w:pPr>
      <w:proofErr w:type="gramStart"/>
      <w:r w:rsidRPr="0088303D">
        <w:rPr>
          <w:rFonts w:hint="eastAsia"/>
          <w:lang w:eastAsia="zh-HK"/>
        </w:rPr>
        <w:lastRenderedPageBreak/>
        <w:t>橫琴新</w:t>
      </w:r>
      <w:proofErr w:type="gramEnd"/>
      <w:r w:rsidRPr="0088303D">
        <w:rPr>
          <w:rFonts w:hint="eastAsia"/>
          <w:lang w:eastAsia="zh-HK"/>
        </w:rPr>
        <w:t>區</w:t>
      </w:r>
      <w:r w:rsidR="002A3C2F" w:rsidRPr="0088303D">
        <w:rPr>
          <w:rFonts w:hint="eastAsia"/>
          <w:lang w:eastAsia="zh-HK"/>
        </w:rPr>
        <w:t>不乏高新科技設計</w:t>
      </w:r>
      <w:r w:rsidR="003E0705" w:rsidRPr="0088303D">
        <w:rPr>
          <w:rFonts w:hint="eastAsia"/>
          <w:lang w:eastAsia="zh-HK"/>
        </w:rPr>
        <w:t>的建設</w:t>
      </w:r>
      <w:r w:rsidR="003E0705" w:rsidRPr="0088303D">
        <w:rPr>
          <w:rFonts w:hint="eastAsia"/>
        </w:rPr>
        <w:t>，</w:t>
      </w:r>
      <w:r w:rsidR="003E0705" w:rsidRPr="0088303D">
        <w:rPr>
          <w:rFonts w:hint="eastAsia"/>
          <w:lang w:eastAsia="zh-HK"/>
        </w:rPr>
        <w:t>試選</w:t>
      </w:r>
      <w:r w:rsidR="001135CB" w:rsidRPr="0088303D">
        <w:rPr>
          <w:rFonts w:hint="eastAsia"/>
          <w:lang w:eastAsia="zh-HK"/>
        </w:rPr>
        <w:t>取其中</w:t>
      </w:r>
      <w:r w:rsidR="001135CB" w:rsidRPr="00E4011F">
        <w:rPr>
          <w:rFonts w:hint="eastAsia"/>
          <w:b/>
          <w:color w:val="000000" w:themeColor="text1"/>
          <w:u w:val="thick"/>
          <w:lang w:eastAsia="zh-HK"/>
        </w:rPr>
        <w:t>兩項</w:t>
      </w:r>
      <w:r w:rsidR="001135CB" w:rsidRPr="0088303D">
        <w:rPr>
          <w:rFonts w:hint="eastAsia"/>
        </w:rPr>
        <w:t>，</w:t>
      </w:r>
      <w:r w:rsidR="001135CB" w:rsidRPr="0088303D">
        <w:rPr>
          <w:rFonts w:hint="eastAsia"/>
          <w:lang w:eastAsia="zh-HK"/>
        </w:rPr>
        <w:t>加以說明</w:t>
      </w:r>
      <w:r w:rsidR="001135CB" w:rsidRPr="0088303D">
        <w:rPr>
          <w:rFonts w:hint="eastAsia"/>
        </w:rPr>
        <w:t>。</w:t>
      </w:r>
    </w:p>
    <w:p w14:paraId="359CAE47" w14:textId="77777777" w:rsidR="001135CB" w:rsidRPr="001135CB" w:rsidRDefault="001135CB" w:rsidP="001135CB">
      <w:pPr>
        <w:pStyle w:val="a3"/>
        <w:ind w:leftChars="0" w:left="397"/>
        <w:jc w:val="both"/>
        <w:rPr>
          <w:rFonts w:ascii="Times New Roman" w:hAnsi="Times New Roman" w:cs="Times New Roman"/>
          <w:b/>
          <w:szCs w:val="24"/>
          <w:lang w:eastAsia="zh-HK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663A4" w14:paraId="22F00D07" w14:textId="77777777" w:rsidTr="00D663A4">
        <w:trPr>
          <w:trHeight w:val="5377"/>
        </w:trPr>
        <w:tc>
          <w:tcPr>
            <w:tcW w:w="8359" w:type="dxa"/>
          </w:tcPr>
          <w:p w14:paraId="2DA16017" w14:textId="674B04CE" w:rsidR="00D663A4" w:rsidRPr="003D0537" w:rsidRDefault="00246355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建設</w:t>
            </w:r>
            <w:r w:rsidR="0097274A">
              <w:rPr>
                <w:rFonts w:ascii="Times New Roman" w:hAnsi="Times New Roman" w:cs="Times New Roman" w:hint="eastAsia"/>
                <w:szCs w:val="24"/>
                <w:lang w:eastAsia="zh-HK"/>
              </w:rPr>
              <w:t>項目</w:t>
            </w:r>
            <w:proofErr w:type="gramStart"/>
            <w:r w:rsidR="0097274A">
              <w:rPr>
                <w:rFonts w:ascii="Times New Roman" w:hAnsi="Times New Roman" w:cs="Times New Roman" w:hint="eastAsia"/>
                <w:szCs w:val="24"/>
                <w:lang w:eastAsia="zh-HK"/>
              </w:rPr>
              <w:t>一</w:t>
            </w:r>
            <w:proofErr w:type="gramEnd"/>
          </w:p>
        </w:tc>
      </w:tr>
      <w:tr w:rsidR="00D663A4" w14:paraId="7A532A2F" w14:textId="77777777" w:rsidTr="00D663A4">
        <w:trPr>
          <w:trHeight w:val="5957"/>
        </w:trPr>
        <w:tc>
          <w:tcPr>
            <w:tcW w:w="8359" w:type="dxa"/>
          </w:tcPr>
          <w:p w14:paraId="2DC504BA" w14:textId="44044121" w:rsidR="00D663A4" w:rsidRPr="003E0705" w:rsidRDefault="00246355" w:rsidP="0025620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建設</w:t>
            </w:r>
            <w:r w:rsidR="0097274A">
              <w:rPr>
                <w:rFonts w:ascii="Times New Roman" w:hAnsi="Times New Roman" w:cs="Times New Roman" w:hint="eastAsia"/>
                <w:szCs w:val="24"/>
                <w:lang w:eastAsia="zh-HK"/>
              </w:rPr>
              <w:t>項目二</w:t>
            </w:r>
          </w:p>
        </w:tc>
      </w:tr>
    </w:tbl>
    <w:p w14:paraId="63864C60" w14:textId="44D2895C" w:rsidR="00CB25E0" w:rsidRDefault="00CB25E0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5BEC6736" w14:textId="174065D3" w:rsidR="00D663A4" w:rsidRDefault="00D663A4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1C8F1603" w14:textId="384C3A12" w:rsidR="00D663A4" w:rsidRDefault="00D663A4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5F5C9B3B" w14:textId="7EBC0657" w:rsidR="00D663A4" w:rsidRDefault="00D663A4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0E4C24A1" w14:textId="77777777" w:rsidR="00D663A4" w:rsidRDefault="00D663A4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</w:pPr>
    </w:p>
    <w:p w14:paraId="322CF018" w14:textId="77777777" w:rsidR="00ED77D8" w:rsidRPr="00053099" w:rsidRDefault="00ED77D8" w:rsidP="00ED77D8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  <w:r w:rsidRPr="00053099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lastRenderedPageBreak/>
        <w:t>丁</w:t>
      </w:r>
      <w:r w:rsidRPr="00501922">
        <w:rPr>
          <w:rFonts w:ascii="Times New Roman" w:eastAsiaTheme="minorEastAsia" w:hAnsi="Times New Roman" w:cs="Times New Roman" w:hint="eastAsia"/>
          <w:b/>
          <w:shd w:val="clear" w:color="auto" w:fill="FFF2CC" w:themeFill="accent4" w:themeFillTint="33"/>
        </w:rPr>
        <w:t>.</w:t>
      </w:r>
      <w:r w:rsidRPr="00501922">
        <w:rPr>
          <w:rFonts w:ascii="Times New Roman" w:eastAsiaTheme="minorEastAsia" w:hAnsi="Times New Roman" w:cs="Times New Roman"/>
          <w:b/>
          <w:shd w:val="clear" w:color="auto" w:fill="FFF2CC" w:themeFill="accent4" w:themeFillTint="33"/>
        </w:rPr>
        <w:t xml:space="preserve"> </w:t>
      </w:r>
      <w:r w:rsidRPr="00501922">
        <w:rPr>
          <w:rFonts w:ascii="Times New Roman" w:eastAsiaTheme="minorEastAsia" w:hAnsi="Times New Roman" w:cs="Times New Roman"/>
          <w:b/>
          <w:u w:val="thick"/>
          <w:shd w:val="clear" w:color="auto" w:fill="FFF2CC" w:themeFill="accent4" w:themeFillTint="33"/>
        </w:rPr>
        <w:t>考察後的反思</w:t>
      </w:r>
    </w:p>
    <w:p w14:paraId="01038DCF" w14:textId="77777777" w:rsidR="00AD4406" w:rsidRDefault="00AD4406" w:rsidP="00AD4406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</w:rPr>
      </w:pPr>
    </w:p>
    <w:p w14:paraId="0063DD73" w14:textId="77777777" w:rsidR="001B7A62" w:rsidRDefault="00B42882" w:rsidP="00B42882">
      <w:pPr>
        <w:pStyle w:val="Default"/>
        <w:numPr>
          <w:ilvl w:val="0"/>
          <w:numId w:val="10"/>
        </w:numPr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HK"/>
        </w:rPr>
        <w:t>交通基建對於</w:t>
      </w:r>
      <w:proofErr w:type="gramStart"/>
      <w:r w:rsidR="00614FE0">
        <w:rPr>
          <w:rFonts w:ascii="Times New Roman" w:eastAsiaTheme="minorEastAsia" w:hAnsi="Times New Roman" w:cs="Times New Roman" w:hint="eastAsia"/>
          <w:lang w:eastAsia="zh-HK"/>
        </w:rPr>
        <w:t>促進</w:t>
      </w:r>
      <w:r>
        <w:rPr>
          <w:rFonts w:ascii="Times New Roman" w:eastAsiaTheme="minorEastAsia" w:hAnsi="Times New Roman" w:cs="Times New Roman" w:hint="eastAsia"/>
          <w:lang w:eastAsia="zh-HK"/>
        </w:rPr>
        <w:t>粵</w:t>
      </w:r>
      <w:proofErr w:type="gramEnd"/>
      <w:r>
        <w:rPr>
          <w:rFonts w:ascii="Times New Roman" w:eastAsiaTheme="minorEastAsia" w:hAnsi="Times New Roman" w:cs="Times New Roman" w:hint="eastAsia"/>
          <w:lang w:eastAsia="zh-HK"/>
        </w:rPr>
        <w:t>港澳大灣區規劃發展帶來甚麼幫助</w:t>
      </w:r>
      <w:r>
        <w:rPr>
          <w:rFonts w:ascii="Times New Roman" w:eastAsiaTheme="minorEastAsia" w:hAnsi="Times New Roman" w:cs="Times New Roman" w:hint="eastAsia"/>
        </w:rPr>
        <w:t>？</w:t>
      </w:r>
      <w:r>
        <w:rPr>
          <w:rFonts w:ascii="Times New Roman" w:eastAsiaTheme="minorEastAsia" w:hAnsi="Times New Roman" w:cs="Times New Roman" w:hint="eastAsia"/>
          <w:lang w:eastAsia="zh-HK"/>
        </w:rPr>
        <w:t>試綜合包括</w:t>
      </w:r>
      <w:proofErr w:type="gramStart"/>
      <w:r>
        <w:rPr>
          <w:rFonts w:ascii="Times New Roman" w:eastAsiaTheme="minorEastAsia" w:hAnsi="Times New Roman" w:cs="Times New Roman" w:hint="eastAsia"/>
          <w:lang w:eastAsia="zh-HK"/>
        </w:rPr>
        <w:t>港珠澳</w:t>
      </w:r>
      <w:proofErr w:type="gramEnd"/>
      <w:r>
        <w:rPr>
          <w:rFonts w:ascii="Times New Roman" w:eastAsiaTheme="minorEastAsia" w:hAnsi="Times New Roman" w:cs="Times New Roman" w:hint="eastAsia"/>
          <w:lang w:eastAsia="zh-HK"/>
        </w:rPr>
        <w:t>大橋在內的交通基建設施</w:t>
      </w:r>
      <w:r w:rsidR="00614FE0">
        <w:rPr>
          <w:rFonts w:ascii="Times New Roman" w:eastAsiaTheme="minorEastAsia" w:hAnsi="Times New Roman" w:cs="Times New Roman" w:hint="eastAsia"/>
        </w:rPr>
        <w:t>，</w:t>
      </w:r>
      <w:r w:rsidR="009623B7">
        <w:rPr>
          <w:rFonts w:ascii="Times New Roman" w:eastAsiaTheme="minorEastAsia" w:hAnsi="Times New Roman" w:cs="Times New Roman" w:hint="eastAsia"/>
          <w:lang w:eastAsia="zh-HK"/>
        </w:rPr>
        <w:t>說明你的意見</w:t>
      </w:r>
      <w:r w:rsidR="009623B7">
        <w:rPr>
          <w:rFonts w:ascii="Times New Roman" w:eastAsiaTheme="minorEastAsia" w:hAnsi="Times New Roman" w:cs="Times New Roman" w:hint="eastAsia"/>
        </w:rPr>
        <w:t>。</w:t>
      </w:r>
    </w:p>
    <w:p w14:paraId="12332E71" w14:textId="77777777" w:rsidR="009623B7" w:rsidRDefault="009623B7" w:rsidP="009623B7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23B7" w14:paraId="04F0B7D9" w14:textId="77777777" w:rsidTr="009623B7">
        <w:tc>
          <w:tcPr>
            <w:tcW w:w="8296" w:type="dxa"/>
          </w:tcPr>
          <w:p w14:paraId="41C3AD43" w14:textId="77777777" w:rsidR="009623B7" w:rsidRPr="00CB25E0" w:rsidRDefault="00CB25E0" w:rsidP="00CB25E0">
            <w:pPr>
              <w:pStyle w:val="Default"/>
              <w:adjustRightInd/>
              <w:rPr>
                <w:rFonts w:ascii="Times New Roman" w:eastAsiaTheme="minorEastAsia" w:hAnsi="Times New Roman" w:cs="Times New Roman"/>
                <w:color w:val="FF0000"/>
              </w:rPr>
            </w:pPr>
            <w:r w:rsidRPr="00CB25E0"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提示</w:t>
            </w:r>
            <w:r w:rsidRPr="00CB25E0">
              <w:rPr>
                <w:rFonts w:ascii="Times New Roman" w:eastAsiaTheme="minorEastAsia" w:hAnsi="Times New Roman" w:cs="Times New Roman" w:hint="eastAsia"/>
                <w:color w:val="FF0000"/>
              </w:rPr>
              <w:t>：</w:t>
            </w:r>
            <w:r w:rsidRPr="00CB25E0"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可</w:t>
            </w:r>
            <w:proofErr w:type="gramStart"/>
            <w:r w:rsidRPr="00CB25E0"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瀏覽粵</w:t>
            </w:r>
            <w:proofErr w:type="gramEnd"/>
            <w:r w:rsidRPr="00CB25E0">
              <w:rPr>
                <w:rFonts w:ascii="Times New Roman" w:eastAsiaTheme="minorEastAsia" w:hAnsi="Times New Roman" w:cs="Times New Roman" w:hint="eastAsia"/>
                <w:color w:val="FF0000"/>
                <w:lang w:eastAsia="zh-HK"/>
              </w:rPr>
              <w:t>港澳大灣區網頁</w:t>
            </w:r>
            <w:r w:rsidRPr="00CB25E0">
              <w:rPr>
                <w:rFonts w:ascii="Times New Roman" w:eastAsiaTheme="minorEastAsia" w:hAnsi="Times New Roman" w:cs="Times New Roman"/>
                <w:color w:val="FF0000"/>
                <w:lang w:eastAsia="zh-HK"/>
              </w:rPr>
              <w:t>https://www.bayarea.gov.hk/tc/connectivity/key.html</w:t>
            </w:r>
          </w:p>
          <w:p w14:paraId="0ADAC340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58134E9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8D78D22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4E3DED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4AA6825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86A0C03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75BAE3F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3389AF3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D9D43FA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545B6A4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E7CB634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166AFD9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B74F232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7C4441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A532E29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41E8561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1EFB3B5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3CDD596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A87A31F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089CEFA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1D62A43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01FECDD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3CE8752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52A25A4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CF2B7AF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67D6367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35B546A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1C232DD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225FF49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6BF536F" w14:textId="77777777" w:rsidR="009623B7" w:rsidRDefault="009623B7" w:rsidP="009623B7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15152DBC" w14:textId="77777777" w:rsidR="00D663A4" w:rsidRDefault="00D663A4" w:rsidP="00D663A4">
      <w:pPr>
        <w:pStyle w:val="Default"/>
        <w:adjustRightInd/>
        <w:jc w:val="both"/>
        <w:rPr>
          <w:rFonts w:ascii="Times New Roman" w:eastAsiaTheme="minorEastAsia" w:hAnsi="Times New Roman" w:cs="Times New Roman"/>
        </w:rPr>
      </w:pPr>
    </w:p>
    <w:p w14:paraId="21C9B03D" w14:textId="0AD128C1" w:rsidR="00AD4406" w:rsidRDefault="00AD4406" w:rsidP="00E56718">
      <w:pPr>
        <w:pStyle w:val="Default"/>
        <w:numPr>
          <w:ilvl w:val="0"/>
          <w:numId w:val="10"/>
        </w:numPr>
        <w:adjustRightInd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lastRenderedPageBreak/>
        <w:t>綜合預習資料和</w:t>
      </w:r>
      <w:r w:rsidR="002033AB">
        <w:rPr>
          <w:rFonts w:ascii="Times New Roman" w:eastAsiaTheme="minorEastAsia" w:hAnsi="Times New Roman" w:cs="Times New Roman" w:hint="eastAsia"/>
          <w:lang w:eastAsia="zh-HK"/>
        </w:rPr>
        <w:t>實地</w:t>
      </w:r>
      <w:r>
        <w:rPr>
          <w:rFonts w:ascii="Times New Roman" w:eastAsiaTheme="minorEastAsia" w:hAnsi="Times New Roman" w:cs="Times New Roman" w:hint="eastAsia"/>
        </w:rPr>
        <w:t>考察所得，</w:t>
      </w:r>
      <w:r w:rsidR="00E37DD4">
        <w:rPr>
          <w:rFonts w:ascii="Times New Roman" w:eastAsiaTheme="minorEastAsia" w:hAnsi="Times New Roman" w:cs="Times New Roman" w:hint="eastAsia"/>
          <w:lang w:eastAsia="zh-HK"/>
        </w:rPr>
        <w:t>並進一步搜集</w:t>
      </w:r>
      <w:r>
        <w:rPr>
          <w:rFonts w:ascii="Times New Roman" w:eastAsiaTheme="minorEastAsia" w:hAnsi="Times New Roman" w:cs="Times New Roman" w:hint="eastAsia"/>
          <w:lang w:eastAsia="zh-HK"/>
        </w:rPr>
        <w:t>資料</w:t>
      </w:r>
      <w:r>
        <w:rPr>
          <w:rFonts w:ascii="Times New Roman" w:eastAsiaTheme="minorEastAsia" w:hAnsi="Times New Roman" w:cs="Times New Roman" w:hint="eastAsia"/>
        </w:rPr>
        <w:t>，</w:t>
      </w:r>
      <w:proofErr w:type="gramStart"/>
      <w:r w:rsidR="00656592">
        <w:rPr>
          <w:rFonts w:ascii="Times New Roman" w:eastAsiaTheme="minorEastAsia" w:hAnsi="Times New Roman" w:cs="Times New Roman" w:hint="eastAsia"/>
          <w:lang w:eastAsia="zh-HK"/>
        </w:rPr>
        <w:t>說明</w:t>
      </w:r>
      <w:r>
        <w:rPr>
          <w:rFonts w:ascii="Times New Roman" w:eastAsiaTheme="minorEastAsia" w:hAnsi="Times New Roman" w:cs="Times New Roman" w:hint="eastAsia"/>
          <w:lang w:eastAsia="zh-HK"/>
        </w:rPr>
        <w:t>橫琴</w:t>
      </w:r>
      <w:r>
        <w:rPr>
          <w:rFonts w:ascii="Times New Roman" w:eastAsiaTheme="minorEastAsia" w:hAnsi="Times New Roman" w:cs="Times New Roman" w:hint="eastAsia"/>
        </w:rPr>
        <w:t>在</w:t>
      </w:r>
      <w:proofErr w:type="gramEnd"/>
      <w:r>
        <w:rPr>
          <w:rFonts w:ascii="Times New Roman" w:eastAsiaTheme="minorEastAsia" w:hAnsi="Times New Roman" w:cs="Times New Roman" w:hint="eastAsia"/>
        </w:rPr>
        <w:t>粵港澳大灣區</w:t>
      </w:r>
      <w:r>
        <w:rPr>
          <w:rFonts w:ascii="Times New Roman" w:eastAsiaTheme="minorEastAsia" w:hAnsi="Times New Roman" w:cs="Times New Roman" w:hint="eastAsia"/>
          <w:lang w:eastAsia="zh-HK"/>
        </w:rPr>
        <w:t>內</w:t>
      </w:r>
      <w:r w:rsidR="00656592">
        <w:rPr>
          <w:rFonts w:ascii="Times New Roman" w:eastAsiaTheme="minorEastAsia" w:hAnsi="Times New Roman" w:cs="Times New Roman" w:hint="eastAsia"/>
          <w:lang w:eastAsia="zh-HK"/>
        </w:rPr>
        <w:t>所</w:t>
      </w:r>
      <w:r>
        <w:rPr>
          <w:rFonts w:ascii="Times New Roman" w:eastAsiaTheme="minorEastAsia" w:hAnsi="Times New Roman" w:cs="Times New Roman" w:hint="eastAsia"/>
          <w:lang w:eastAsia="zh-HK"/>
        </w:rPr>
        <w:t>具備</w:t>
      </w:r>
      <w:r w:rsidR="00656592">
        <w:rPr>
          <w:rFonts w:ascii="Times New Roman" w:eastAsiaTheme="minorEastAsia" w:hAnsi="Times New Roman" w:cs="Times New Roman" w:hint="eastAsia"/>
          <w:lang w:eastAsia="zh-HK"/>
        </w:rPr>
        <w:t>的</w:t>
      </w:r>
      <w:r>
        <w:rPr>
          <w:rFonts w:ascii="Times New Roman" w:eastAsiaTheme="minorEastAsia" w:hAnsi="Times New Roman" w:cs="Times New Roman" w:hint="eastAsia"/>
        </w:rPr>
        <w:t>發展</w:t>
      </w:r>
      <w:r w:rsidR="009623B7">
        <w:rPr>
          <w:rFonts w:ascii="Times New Roman" w:eastAsiaTheme="minorEastAsia" w:hAnsi="Times New Roman" w:cs="Times New Roman" w:hint="eastAsia"/>
        </w:rPr>
        <w:t>優勢。</w:t>
      </w:r>
    </w:p>
    <w:p w14:paraId="517AD4AC" w14:textId="77777777" w:rsidR="00E56718" w:rsidRPr="00CB25E0" w:rsidRDefault="00E56718" w:rsidP="00E56718">
      <w:pPr>
        <w:pStyle w:val="Default"/>
        <w:adjustRightInd/>
        <w:ind w:left="360"/>
        <w:jc w:val="both"/>
        <w:rPr>
          <w:rFonts w:ascii="Times New Roman" w:eastAsiaTheme="minorEastAsia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4406" w14:paraId="78B823A4" w14:textId="77777777" w:rsidTr="00CB25E0">
        <w:trPr>
          <w:trHeight w:val="10196"/>
        </w:trPr>
        <w:tc>
          <w:tcPr>
            <w:tcW w:w="8296" w:type="dxa"/>
          </w:tcPr>
          <w:p w14:paraId="0A179BD5" w14:textId="77777777" w:rsidR="00AD4406" w:rsidRPr="00CB25E0" w:rsidRDefault="00CB25E0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CB25E0">
              <w:rPr>
                <w:rFonts w:ascii="Times New Roman" w:eastAsiaTheme="minorEastAsia" w:hAnsi="Times New Roman" w:cs="Times New Roman" w:hint="eastAsia"/>
                <w:color w:val="FF0000"/>
              </w:rPr>
              <w:t>提示：地理位置、國家的支持政策、經濟發展、區內建設、生態環境…</w:t>
            </w:r>
            <w:proofErr w:type="gramStart"/>
            <w:r w:rsidRPr="00CB25E0">
              <w:rPr>
                <w:rFonts w:ascii="Times New Roman" w:eastAsiaTheme="minorEastAsia" w:hAnsi="Times New Roman" w:cs="Times New Roman" w:hint="eastAsia"/>
                <w:color w:val="FF0000"/>
              </w:rPr>
              <w:t>…</w:t>
            </w:r>
            <w:proofErr w:type="gramEnd"/>
          </w:p>
          <w:p w14:paraId="46C1FD24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B1921DA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E345E85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A1AE23E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4663AC4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0E94DAA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1555224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13D11AF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EDC41EA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2D97198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AE7A7E9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42191BA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6E05E9E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89AA944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405C75B0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61BAE90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F04AB0B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122B1F1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B114870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114BB05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357697D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B769C81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05ECE43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601BD287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6687E5B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11C41F76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2BF7A066" w14:textId="77777777" w:rsidR="00AD4406" w:rsidRDefault="00AD4406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5D13B2D" w14:textId="77777777" w:rsidR="00E56718" w:rsidRDefault="00E56718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56D80A2F" w14:textId="77777777" w:rsidR="00E56718" w:rsidRDefault="00E56718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390B88F0" w14:textId="77777777" w:rsidR="00E56718" w:rsidRDefault="00E56718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0A912D31" w14:textId="77777777" w:rsidR="00E56718" w:rsidRDefault="00E56718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  <w:p w14:paraId="7E7F67A5" w14:textId="77777777" w:rsidR="00E56718" w:rsidRDefault="00E56718" w:rsidP="00AD4406">
            <w:pPr>
              <w:pStyle w:val="Default"/>
              <w:adjustRightInd/>
              <w:jc w:val="both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4B3C50C6" w14:textId="77777777" w:rsidR="00ED77D8" w:rsidRPr="00AD4406" w:rsidRDefault="00ED77D8" w:rsidP="00ED77D8">
      <w:pPr>
        <w:pStyle w:val="Default"/>
        <w:snapToGrid w:val="0"/>
        <w:jc w:val="both"/>
        <w:rPr>
          <w:rFonts w:ascii="Times New Roman" w:eastAsiaTheme="minorEastAsia" w:hAnsi="Times New Roman" w:cs="Times New Roman"/>
        </w:rPr>
      </w:pPr>
    </w:p>
    <w:p w14:paraId="63F3A20E" w14:textId="718F57A9" w:rsidR="00064886" w:rsidRDefault="00ED77D8" w:rsidP="009623B7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--</w:t>
      </w:r>
    </w:p>
    <w:p w14:paraId="2322E3A9" w14:textId="77777777" w:rsidR="00064886" w:rsidRDefault="00064886">
      <w:pPr>
        <w:widowControl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br w:type="page"/>
      </w:r>
    </w:p>
    <w:p w14:paraId="74032665" w14:textId="77777777" w:rsidR="00064886" w:rsidRDefault="00064886" w:rsidP="00064886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37E4EE1F" w14:textId="77777777" w:rsidR="00064886" w:rsidRDefault="00064886" w:rsidP="00064886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648FF7CC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>
        <w:rPr>
          <w:rFonts w:ascii="Calibri" w:eastAsia="新細明體" w:hAnsi="Calibri" w:cs="Times New Roman" w:hint="eastAsia"/>
          <w:kern w:val="0"/>
          <w:szCs w:val="24"/>
        </w:rPr>
        <w:t>（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02223377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（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甲</w:t>
      </w:r>
      <w:r>
        <w:rPr>
          <w:rFonts w:ascii="Calibri" w:eastAsia="新細明體" w:hAnsi="Calibri" w:cs="Times New Roman" w:hint="eastAsia"/>
          <w:kern w:val="0"/>
          <w:szCs w:val="24"/>
        </w:rPr>
        <w:t>：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丙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：考察期間的任務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）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>
        <w:rPr>
          <w:rFonts w:ascii="Calibri" w:eastAsia="新細明體" w:hAnsi="Calibri" w:cs="Times New Roman" w:hint="eastAsia"/>
          <w:kern w:val="0"/>
          <w:szCs w:val="24"/>
        </w:rPr>
        <w:t>統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51D1459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的資料、視頻、相片、圖片、思考問題與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教學材料、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77A29C68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>
        <w:rPr>
          <w:rFonts w:ascii="Calibri" w:eastAsia="新細明體" w:hAnsi="Calibri" w:cs="Times New Roman" w:hint="eastAsia"/>
          <w:kern w:val="0"/>
          <w:szCs w:val="24"/>
        </w:rPr>
        <w:t>料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>
        <w:rPr>
          <w:rFonts w:ascii="Calibri" w:eastAsia="新細明體" w:hAnsi="Calibri" w:cs="Times New Roman"/>
          <w:kern w:val="0"/>
          <w:szCs w:val="24"/>
        </w:rPr>
        <w:t>2021</w:t>
      </w:r>
      <w:r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34573F4A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>
        <w:rPr>
          <w:rFonts w:ascii="Calibri" w:eastAsia="新細明體" w:hAnsi="Calibri" w:cs="Times New Roman" w:hint="eastAsia"/>
          <w:kern w:val="0"/>
          <w:szCs w:val="24"/>
        </w:rPr>
        <w:t>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>
        <w:rPr>
          <w:rFonts w:ascii="Calibri" w:eastAsia="新細明體" w:hAnsi="Calibri" w:cs="Times New Roman" w:hint="eastAsia"/>
          <w:kern w:val="0"/>
          <w:szCs w:val="24"/>
        </w:rPr>
        <w:t>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拍攝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相片和短片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、索取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參訪場館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所提供的介紹單張等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>
        <w:rPr>
          <w:rFonts w:ascii="Calibri" w:eastAsia="新細明體" w:hAnsi="Calibri" w:cs="Times New Roman" w:hint="eastAsia"/>
          <w:kern w:val="0"/>
          <w:szCs w:val="24"/>
        </w:rPr>
        <w:t>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1223B6F4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參訪點考察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重點而設計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亦可按學與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教需要進一步綜合與拓展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7F2E6389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contextualSpacing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除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的資料、視頻、相片、圖片外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>
        <w:rPr>
          <w:rFonts w:ascii="Calibri" w:eastAsia="新細明體" w:hAnsi="Calibri" w:cs="Times New Roman" w:hint="eastAsia"/>
          <w:kern w:val="0"/>
          <w:szCs w:val="24"/>
        </w:rPr>
        <w:t>鼓勵學生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>
        <w:rPr>
          <w:rFonts w:ascii="Calibri" w:eastAsia="新細明體" w:hAnsi="Calibri" w:cs="Times New Roman" w:hint="eastAsia"/>
          <w:kern w:val="0"/>
          <w:szCs w:val="24"/>
        </w:rPr>
        <w:t>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>
        <w:rPr>
          <w:rFonts w:ascii="Calibri" w:eastAsia="新細明體" w:hAnsi="Calibri" w:cs="Times New Roman" w:hint="eastAsia"/>
          <w:kern w:val="0"/>
          <w:szCs w:val="24"/>
        </w:rPr>
        <w:t>培養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31AD881D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參訪點官方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網站等方法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694B986D" w14:textId="77777777" w:rsid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5BE4BF64" w14:textId="17DA178B" w:rsidR="001509CD" w:rsidRPr="00064886" w:rsidRDefault="00064886" w:rsidP="00064886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1509CD" w:rsidRPr="00064886" w:rsidSect="00256203">
      <w:footerReference w:type="default" r:id="rId12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43058" w14:textId="77777777" w:rsidR="008F2600" w:rsidRDefault="008F2600">
      <w:r>
        <w:separator/>
      </w:r>
    </w:p>
  </w:endnote>
  <w:endnote w:type="continuationSeparator" w:id="0">
    <w:p w14:paraId="162478FE" w14:textId="77777777" w:rsidR="008F2600" w:rsidRDefault="008F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F5F4F8A" w14:textId="4D9B46F5" w:rsidR="00256203" w:rsidRPr="0005514F" w:rsidRDefault="00256203">
        <w:pPr>
          <w:pStyle w:val="a6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3C2762" w:rsidRPr="003C2762">
          <w:rPr>
            <w:rFonts w:ascii="Times New Roman" w:hAnsi="Times New Roman" w:cs="Times New Roman"/>
            <w:noProof/>
            <w:lang w:val="zh-TW"/>
          </w:rPr>
          <w:t>11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14:paraId="067B6875" w14:textId="77777777" w:rsidR="00256203" w:rsidRDefault="00256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0A93" w14:textId="77777777" w:rsidR="008F2600" w:rsidRDefault="008F2600">
      <w:r>
        <w:separator/>
      </w:r>
    </w:p>
  </w:footnote>
  <w:footnote w:type="continuationSeparator" w:id="0">
    <w:p w14:paraId="3A4437BD" w14:textId="77777777" w:rsidR="008F2600" w:rsidRDefault="008F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FE1"/>
    <w:multiLevelType w:val="hybridMultilevel"/>
    <w:tmpl w:val="65DE88CA"/>
    <w:lvl w:ilvl="0" w:tplc="56E272D6">
      <w:start w:val="2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AAFD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A2B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C04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C8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0C2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102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7E25EAD"/>
    <w:multiLevelType w:val="hybridMultilevel"/>
    <w:tmpl w:val="E7B6C146"/>
    <w:lvl w:ilvl="0" w:tplc="E3C6AB5E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FA28B4"/>
    <w:multiLevelType w:val="hybridMultilevel"/>
    <w:tmpl w:val="C5A00F84"/>
    <w:lvl w:ilvl="0" w:tplc="A7E6B32E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07D75"/>
    <w:multiLevelType w:val="hybridMultilevel"/>
    <w:tmpl w:val="6EC4B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04BD2"/>
    <w:multiLevelType w:val="hybridMultilevel"/>
    <w:tmpl w:val="692AF582"/>
    <w:lvl w:ilvl="0" w:tplc="9F609374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CF28DC"/>
    <w:multiLevelType w:val="hybridMultilevel"/>
    <w:tmpl w:val="B170A184"/>
    <w:lvl w:ilvl="0" w:tplc="C3506B44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854427"/>
    <w:multiLevelType w:val="hybridMultilevel"/>
    <w:tmpl w:val="F9BC4AC0"/>
    <w:lvl w:ilvl="0" w:tplc="E7F4196E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7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E01235"/>
    <w:multiLevelType w:val="hybridMultilevel"/>
    <w:tmpl w:val="5C7092CE"/>
    <w:lvl w:ilvl="0" w:tplc="09BEF8E0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7EA2A060">
      <w:start w:val="1"/>
      <w:numFmt w:val="bullet"/>
      <w:lvlText w:val=""/>
      <w:lvlJc w:val="left"/>
      <w:pPr>
        <w:ind w:left="1047" w:hanging="367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E153A0"/>
    <w:multiLevelType w:val="hybridMultilevel"/>
    <w:tmpl w:val="BB4AA108"/>
    <w:lvl w:ilvl="0" w:tplc="A9BE5306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156AFA"/>
    <w:multiLevelType w:val="hybridMultilevel"/>
    <w:tmpl w:val="764A6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917A8E"/>
    <w:multiLevelType w:val="hybridMultilevel"/>
    <w:tmpl w:val="ED103EC8"/>
    <w:lvl w:ilvl="0" w:tplc="1B92EF7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DA05B4"/>
    <w:multiLevelType w:val="hybridMultilevel"/>
    <w:tmpl w:val="162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5844A3"/>
    <w:multiLevelType w:val="hybridMultilevel"/>
    <w:tmpl w:val="B82AB48C"/>
    <w:lvl w:ilvl="0" w:tplc="29D42E68">
      <w:start w:val="2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0A7996"/>
    <w:multiLevelType w:val="hybridMultilevel"/>
    <w:tmpl w:val="692420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03038A"/>
    <w:multiLevelType w:val="hybridMultilevel"/>
    <w:tmpl w:val="3DE853CE"/>
    <w:lvl w:ilvl="0" w:tplc="A81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0363EE"/>
    <w:multiLevelType w:val="hybridMultilevel"/>
    <w:tmpl w:val="CDBC1C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410AC5"/>
    <w:multiLevelType w:val="hybridMultilevel"/>
    <w:tmpl w:val="2E12DE0C"/>
    <w:lvl w:ilvl="0" w:tplc="EBFCBB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7F0F7F"/>
    <w:multiLevelType w:val="hybridMultilevel"/>
    <w:tmpl w:val="4A7843EE"/>
    <w:lvl w:ilvl="0" w:tplc="9F609374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1A2FFB"/>
    <w:multiLevelType w:val="hybridMultilevel"/>
    <w:tmpl w:val="C79E7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836D13"/>
    <w:multiLevelType w:val="hybridMultilevel"/>
    <w:tmpl w:val="73AC134C"/>
    <w:lvl w:ilvl="0" w:tplc="90DCBB52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37730B"/>
    <w:multiLevelType w:val="hybridMultilevel"/>
    <w:tmpl w:val="5CA45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EF0245"/>
    <w:multiLevelType w:val="hybridMultilevel"/>
    <w:tmpl w:val="58087F5E"/>
    <w:lvl w:ilvl="0" w:tplc="7EA2A060">
      <w:start w:val="1"/>
      <w:numFmt w:val="bullet"/>
      <w:lvlText w:val=""/>
      <w:lvlJc w:val="left"/>
      <w:pPr>
        <w:ind w:left="847" w:hanging="367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80"/>
      </w:pPr>
      <w:rPr>
        <w:rFonts w:ascii="Wingdings" w:hAnsi="Wingdings" w:hint="default"/>
      </w:rPr>
    </w:lvl>
  </w:abstractNum>
  <w:abstractNum w:abstractNumId="23" w15:restartNumberingAfterBreak="0">
    <w:nsid w:val="67BF6171"/>
    <w:multiLevelType w:val="hybridMultilevel"/>
    <w:tmpl w:val="EB9C4BE4"/>
    <w:lvl w:ilvl="0" w:tplc="56E272D6">
      <w:start w:val="2"/>
      <w:numFmt w:val="decimal"/>
      <w:lvlText w:val="%1."/>
      <w:lvlJc w:val="left"/>
      <w:pPr>
        <w:ind w:left="397" w:hanging="39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B01FFF"/>
    <w:multiLevelType w:val="hybridMultilevel"/>
    <w:tmpl w:val="98649F7E"/>
    <w:lvl w:ilvl="0" w:tplc="4E3CB4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11"/>
  </w:num>
  <w:num w:numId="5">
    <w:abstractNumId w:val="8"/>
  </w:num>
  <w:num w:numId="6">
    <w:abstractNumId w:val="22"/>
  </w:num>
  <w:num w:numId="7">
    <w:abstractNumId w:val="6"/>
  </w:num>
  <w:num w:numId="8">
    <w:abstractNumId w:val="20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24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21"/>
  </w:num>
  <w:num w:numId="23">
    <w:abstractNumId w:val="10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8"/>
    <w:rsid w:val="00023C46"/>
    <w:rsid w:val="000528F6"/>
    <w:rsid w:val="000573CE"/>
    <w:rsid w:val="00064886"/>
    <w:rsid w:val="000A566B"/>
    <w:rsid w:val="000C11DA"/>
    <w:rsid w:val="001135CB"/>
    <w:rsid w:val="00142EE2"/>
    <w:rsid w:val="001509CD"/>
    <w:rsid w:val="001B7A62"/>
    <w:rsid w:val="001E6182"/>
    <w:rsid w:val="001F0153"/>
    <w:rsid w:val="00200303"/>
    <w:rsid w:val="00201EEF"/>
    <w:rsid w:val="002033AB"/>
    <w:rsid w:val="002342C4"/>
    <w:rsid w:val="00235A40"/>
    <w:rsid w:val="00246355"/>
    <w:rsid w:val="00256203"/>
    <w:rsid w:val="00262F72"/>
    <w:rsid w:val="00274F54"/>
    <w:rsid w:val="00277270"/>
    <w:rsid w:val="0027733D"/>
    <w:rsid w:val="002907F4"/>
    <w:rsid w:val="002A3C2F"/>
    <w:rsid w:val="002B7CF0"/>
    <w:rsid w:val="002F6B1A"/>
    <w:rsid w:val="00313288"/>
    <w:rsid w:val="00351CAB"/>
    <w:rsid w:val="003550E2"/>
    <w:rsid w:val="00393417"/>
    <w:rsid w:val="003C2762"/>
    <w:rsid w:val="003E0705"/>
    <w:rsid w:val="003E4E0B"/>
    <w:rsid w:val="00405397"/>
    <w:rsid w:val="00406230"/>
    <w:rsid w:val="00423F87"/>
    <w:rsid w:val="00462EFD"/>
    <w:rsid w:val="0046595C"/>
    <w:rsid w:val="004C0243"/>
    <w:rsid w:val="004C5079"/>
    <w:rsid w:val="004C7026"/>
    <w:rsid w:val="005172FE"/>
    <w:rsid w:val="00531FDC"/>
    <w:rsid w:val="0054177F"/>
    <w:rsid w:val="005438CB"/>
    <w:rsid w:val="005613A6"/>
    <w:rsid w:val="00580E9A"/>
    <w:rsid w:val="005831F7"/>
    <w:rsid w:val="005840CD"/>
    <w:rsid w:val="005A55B2"/>
    <w:rsid w:val="005B2A6C"/>
    <w:rsid w:val="005C200E"/>
    <w:rsid w:val="005E70EC"/>
    <w:rsid w:val="00600657"/>
    <w:rsid w:val="00605DD0"/>
    <w:rsid w:val="00614FE0"/>
    <w:rsid w:val="00656592"/>
    <w:rsid w:val="0066732C"/>
    <w:rsid w:val="00694999"/>
    <w:rsid w:val="006F60CE"/>
    <w:rsid w:val="00712703"/>
    <w:rsid w:val="0073362D"/>
    <w:rsid w:val="00776334"/>
    <w:rsid w:val="007D7F2F"/>
    <w:rsid w:val="0081290E"/>
    <w:rsid w:val="00863B21"/>
    <w:rsid w:val="0088303D"/>
    <w:rsid w:val="008E24CD"/>
    <w:rsid w:val="008E4B98"/>
    <w:rsid w:val="008F2600"/>
    <w:rsid w:val="00902806"/>
    <w:rsid w:val="00912F16"/>
    <w:rsid w:val="009130EF"/>
    <w:rsid w:val="00924017"/>
    <w:rsid w:val="009623B7"/>
    <w:rsid w:val="0097274A"/>
    <w:rsid w:val="009D0A2E"/>
    <w:rsid w:val="009E13D1"/>
    <w:rsid w:val="00A01FF8"/>
    <w:rsid w:val="00A065C5"/>
    <w:rsid w:val="00A875D8"/>
    <w:rsid w:val="00A93FBA"/>
    <w:rsid w:val="00AC49DF"/>
    <w:rsid w:val="00AC652B"/>
    <w:rsid w:val="00AC68E8"/>
    <w:rsid w:val="00AD4406"/>
    <w:rsid w:val="00B21CBE"/>
    <w:rsid w:val="00B42882"/>
    <w:rsid w:val="00B56152"/>
    <w:rsid w:val="00B60D95"/>
    <w:rsid w:val="00B706F1"/>
    <w:rsid w:val="00B90611"/>
    <w:rsid w:val="00BD4F20"/>
    <w:rsid w:val="00BD6DC3"/>
    <w:rsid w:val="00C247E3"/>
    <w:rsid w:val="00C31F89"/>
    <w:rsid w:val="00C440F2"/>
    <w:rsid w:val="00C61E50"/>
    <w:rsid w:val="00C64E31"/>
    <w:rsid w:val="00C80E9B"/>
    <w:rsid w:val="00C9548B"/>
    <w:rsid w:val="00CB25E0"/>
    <w:rsid w:val="00CB5E37"/>
    <w:rsid w:val="00CC3CBE"/>
    <w:rsid w:val="00CD6C90"/>
    <w:rsid w:val="00D02E94"/>
    <w:rsid w:val="00D22D1F"/>
    <w:rsid w:val="00D346CE"/>
    <w:rsid w:val="00D47538"/>
    <w:rsid w:val="00D663A4"/>
    <w:rsid w:val="00D70CA8"/>
    <w:rsid w:val="00DD0062"/>
    <w:rsid w:val="00E37DD4"/>
    <w:rsid w:val="00E4011F"/>
    <w:rsid w:val="00E56718"/>
    <w:rsid w:val="00E86443"/>
    <w:rsid w:val="00EB629B"/>
    <w:rsid w:val="00ED77D8"/>
    <w:rsid w:val="00EE4F0B"/>
    <w:rsid w:val="00F25148"/>
    <w:rsid w:val="00F273E0"/>
    <w:rsid w:val="00F61147"/>
    <w:rsid w:val="00F63649"/>
    <w:rsid w:val="00F838DA"/>
    <w:rsid w:val="00F84C55"/>
    <w:rsid w:val="00FA545E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0EC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 Heading 1,Issue Action POC,3,POCG Table Text,Dot pt,F5 List Paragraph,List Paragraph Char Char Char,Indicator Text,Colorful List - Accent 11,Numbered Para 1,Bullet 1,Bullet Points,MAIN CONTENT,Normal numbered"/>
    <w:basedOn w:val="a"/>
    <w:link w:val="a4"/>
    <w:uiPriority w:val="34"/>
    <w:qFormat/>
    <w:rsid w:val="00ED77D8"/>
    <w:pPr>
      <w:ind w:leftChars="200" w:left="480"/>
    </w:pPr>
  </w:style>
  <w:style w:type="paragraph" w:customStyle="1" w:styleId="Default">
    <w:name w:val="Default"/>
    <w:rsid w:val="00ED77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ED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D7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7D8"/>
    <w:rPr>
      <w:sz w:val="20"/>
      <w:szCs w:val="20"/>
    </w:rPr>
  </w:style>
  <w:style w:type="character" w:customStyle="1" w:styleId="a4">
    <w:name w:val="清單段落 字元"/>
    <w:aliases w:val="N Heading 1 字元,Issue Action POC 字元,3 字元,POCG Table Text 字元,Dot pt 字元,F5 List Paragraph 字元,List Paragraph Char Char Char 字元,Indicator Text 字元,Colorful List - Accent 11 字元,Numbered Para 1 字元,Bullet 1 字元,Bullet Points 字元,MAIN CONTENT 字元"/>
    <w:link w:val="a3"/>
    <w:uiPriority w:val="34"/>
    <w:qFormat/>
    <w:rsid w:val="00ED77D8"/>
  </w:style>
  <w:style w:type="table" w:customStyle="1" w:styleId="1">
    <w:name w:val="表格格線1"/>
    <w:basedOn w:val="a1"/>
    <w:next w:val="a5"/>
    <w:uiPriority w:val="39"/>
    <w:rsid w:val="00ED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ED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62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B6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B629B"/>
    <w:rPr>
      <w:sz w:val="20"/>
      <w:szCs w:val="20"/>
    </w:rPr>
  </w:style>
  <w:style w:type="paragraph" w:styleId="ad">
    <w:name w:val="Revision"/>
    <w:hidden/>
    <w:uiPriority w:val="99"/>
    <w:semiHidden/>
    <w:rsid w:val="0035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21D3-F1FB-4473-A4FC-F4C6EA20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2023-03-06T02:17:00Z</dcterms:created>
  <dcterms:modified xsi:type="dcterms:W3CDTF">2023-03-06T02:23:00Z</dcterms:modified>
</cp:coreProperties>
</file>